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footer10.xml" ContentType="application/vnd.openxmlformats-officedocument.wordprocessingml.footer+xml"/>
  <Override PartName="/word/footer2.xml" ContentType="application/vnd.openxmlformats-officedocument.wordprocessingml.footer+xml"/>
  <Override PartName="/word/header12.xml" ContentType="application/vnd.openxmlformats-officedocument.wordprocessingml.header+xml"/>
  <Override PartName="/word/settings.xml" ContentType="application/vnd.openxmlformats-officedocument.wordprocessingml.settings+xml"/>
  <Override PartName="/word/header9.xml" ContentType="application/vnd.openxmlformats-officedocument.wordprocessingml.header+xml"/>
  <Override PartName="/word/header11.xml" ContentType="application/vnd.openxmlformats-officedocument.wordprocessingml.header+xml"/>
  <Override PartName="/word/header8.xml" ContentType="application/vnd.openxmlformats-officedocument.wordprocessingml.header+xml"/>
  <Override PartName="/word/header10.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oter15.xml" ContentType="application/vnd.openxmlformats-officedocument.wordprocessingml.footer+xml"/>
  <Override PartName="/word/numbering.xml" ContentType="application/vnd.openxmlformats-officedocument.wordprocessingml.numbering+xml"/>
  <Override PartName="/word/header2.xml" ContentType="application/vnd.openxmlformats-officedocument.wordprocessingml.header+xml"/>
  <Override PartName="/word/footer17.xml" ContentType="application/vnd.openxmlformats-officedocument.wordprocessingml.footer+xml"/>
  <Override PartName="/word/footer9.xml" ContentType="application/vnd.openxmlformats-officedocument.wordprocessingml.footer+xml"/>
  <Override PartName="/word/footer13.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embeddings/oleObject1.docx" ContentType="application/vnd.openxmlformats-officedocument.wordprocessingml.document"/>
  <Override PartName="/word/embeddings/oleObject2.docx" ContentType="application/vnd.openxmlformats-officedocument.wordprocessingml.document"/>
  <Override PartName="/word/embeddings/oleObject3.docx" ContentType="application/vnd.openxmlformats-officedocument.wordprocessingml.document"/>
  <Override PartName="/word/header14.xml" ContentType="application/vnd.openxmlformats-officedocument.wordprocessingml.header+xml"/>
  <Override PartName="/word/media/image1.wmf" ContentType="image/x-wmf"/>
  <Override PartName="/word/media/image2.wmf" ContentType="image/x-wmf"/>
  <Override PartName="/word/media/image3.wmf" ContentType="image/x-wmf"/>
  <Override PartName="/word/media/image4.png" ContentType="image/png"/>
  <Override PartName="/word/header15.xml" ContentType="application/vnd.openxmlformats-officedocument.wordprocessingml.header+xml"/>
  <Override PartName="/word/header13.xml" ContentType="application/vnd.openxmlformats-officedocument.wordprocessingml.header+xml"/>
  <Override PartName="/word/header3.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footer12.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_rels/document.xml.rels" ContentType="application/vnd.openxmlformats-package.relationships+xml"/>
  <Override PartName="/word/footer8.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footer14.xml" ContentType="application/vnd.openxmlformats-officedocument.wordprocessingml.footer+xml"/>
  <Override PartName="/word/footer6.xml" ContentType="application/vnd.openxmlformats-officedocument.wordprocessingml.footer+xml"/>
  <Override PartName="/word/styles.xml" ContentType="application/vnd.openxmlformats-officedocument.wordprocessingml.styles+xml"/>
  <Override PartName="/word/footer1.xml" ContentType="application/vnd.openxmlformats-officedocument.wordprocessingml.footer+xml"/>
  <Override PartName="/word/footer3.xml" ContentType="application/vnd.openxmlformats-officedocument.wordprocessingml.footer+xml"/>
  <Override PartName="/word/footer11.xml" ContentType="application/vnd.openxmlformats-officedocument.wordprocessingml.footer+xml"/>
  <Override PartName="/word/document.xml" ContentType="application/vnd.openxmlformats-officedocument.wordprocessingml.document.main+xml"/>
  <Override PartName="/word/header6.xml" ContentType="application/vnd.openxmlformats-officedocument.wordprocessingml.header+xml"/>
  <Override PartName="/word/header5.xml" ContentType="application/vnd.openxmlformats-officedocument.wordprocessingml.header+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yle29"/>
        <w:keepNext w:val="true"/>
        <w:spacing w:before="120" w:after="0"/>
        <w:ind w:left="4536" w:hanging="0"/>
        <w:jc w:val="right"/>
        <w:rPr/>
      </w:pPr>
      <w:r>
        <w:rPr/>
        <w:t>«УТВЕРЖДАЮ»</w:t>
      </w:r>
    </w:p>
    <w:p>
      <w:pPr>
        <w:pStyle w:val="Style29"/>
        <w:keepNext w:val="true"/>
        <w:ind w:left="4536" w:hanging="0"/>
        <w:jc w:val="right"/>
        <w:rPr/>
      </w:pPr>
      <w:r>
        <w:rPr/>
        <w:t xml:space="preserve"> </w:t>
      </w:r>
      <w:r>
        <w:rPr/>
        <w:t>Председатель закупочной комиссии</w:t>
      </w:r>
    </w:p>
    <w:p>
      <w:pPr>
        <w:pStyle w:val="Style29"/>
        <w:keepNext w:val="true"/>
        <w:ind w:left="4536" w:hanging="0"/>
        <w:jc w:val="right"/>
        <w:rPr/>
      </w:pPr>
      <w:r>
        <w:rPr/>
        <w:t>_____________________</w:t>
      </w:r>
    </w:p>
    <w:p>
      <w:pPr>
        <w:pStyle w:val="Style29"/>
        <w:keepNext w:val="true"/>
        <w:rPr/>
      </w:pPr>
      <w:r>
        <w:rPr/>
        <w:t xml:space="preserve">                                                                                                                      </w:t>
      </w:r>
      <w:r>
        <w:rPr/>
        <w:t>«</w:t>
      </w:r>
      <w:r>
        <w:rPr>
          <w:lang w:val="en-US"/>
        </w:rPr>
        <w:t>05</w:t>
      </w:r>
      <w:r>
        <w:rPr/>
        <w:t>» июня 2026 год</w:t>
      </w:r>
    </w:p>
    <w:p>
      <w:pPr>
        <w:pStyle w:val="Style29"/>
        <w:keepNext w:val="true"/>
        <w:tabs>
          <w:tab w:val="clear" w:pos="708"/>
          <w:tab w:val="left" w:pos="6405" w:leader="none"/>
          <w:tab w:val="right" w:pos="9922" w:leader="none"/>
        </w:tabs>
        <w:ind w:left="4536" w:hanging="0"/>
        <w:jc w:val="left"/>
        <w:rPr/>
      </w:pPr>
      <w:r>
        <w:rPr/>
        <w:tab/>
      </w:r>
    </w:p>
    <w:p>
      <w:pPr>
        <w:pStyle w:val="Style29"/>
        <w:rPr/>
      </w:pPr>
      <w:r>
        <w:rPr/>
      </w:r>
    </w:p>
    <w:p>
      <w:pPr>
        <w:pStyle w:val="Style29"/>
        <w:rPr/>
      </w:pPr>
      <w:r>
        <w:rPr/>
      </w:r>
    </w:p>
    <w:p>
      <w:pPr>
        <w:pStyle w:val="Style29"/>
        <w:rPr/>
      </w:pPr>
      <w:r>
        <w:rPr/>
      </w:r>
    </w:p>
    <w:p>
      <w:pPr>
        <w:pStyle w:val="Style29"/>
        <w:rPr/>
      </w:pPr>
      <w:r>
        <w:rPr/>
      </w:r>
    </w:p>
    <w:p>
      <w:pPr>
        <w:pStyle w:val="Style29"/>
        <w:rPr/>
      </w:pPr>
      <w:r>
        <w:rPr/>
      </w:r>
    </w:p>
    <w:p>
      <w:pPr>
        <w:pStyle w:val="Style29"/>
        <w:keepNext w:val="true"/>
        <w:numPr>
          <w:ilvl w:val="0"/>
          <w:numId w:val="0"/>
        </w:numPr>
        <w:ind w:left="0" w:hanging="0"/>
        <w:jc w:val="center"/>
        <w:outlineLvl w:val="2"/>
        <w:rPr>
          <w:b/>
          <w:bCs/>
          <w:caps/>
        </w:rPr>
      </w:pPr>
      <w:r>
        <w:rPr>
          <w:b/>
          <w:bCs/>
          <w:caps/>
        </w:rPr>
        <w:t>Документация о закупке</w:t>
      </w:r>
    </w:p>
    <w:p>
      <w:pPr>
        <w:pStyle w:val="Style29"/>
        <w:keepNext w:val="true"/>
        <w:spacing w:before="240" w:after="0"/>
        <w:rPr/>
      </w:pPr>
      <w:r>
        <w:rPr/>
        <w:t>Состязательный отбор в электронной форме, участниками которого могут быть только субъекты МСП на право заключения договора на “</w:t>
      </w:r>
      <w:r>
        <w:rPr>
          <w:rFonts w:eastAsia="Calibri"/>
          <w:color w:val="000000"/>
          <w:sz w:val="24"/>
          <w:szCs w:val="24"/>
          <w:lang w:eastAsia="x-none"/>
        </w:rPr>
        <w:t>О</w:t>
      </w:r>
      <w:r>
        <w:rPr>
          <w:rFonts w:eastAsia="Calibri"/>
          <w:color w:val="000000"/>
          <w:sz w:val="26"/>
          <w:szCs w:val="26"/>
          <w:lang w:eastAsia="x-none"/>
        </w:rPr>
        <w:t>КПД2 28.99.39.190 Поставка аппаратов аварийного всплытия  (19 шт.) и компрессора "Барос-100Э" (1 шт.) для нужд филиала ПАО "РусГидро" - "Кабардино-Балкарский филиал"</w:t>
      </w:r>
      <w:r>
        <w:rPr>
          <w:color w:val="000000"/>
          <w:sz w:val="24"/>
          <w:szCs w:val="24"/>
        </w:rPr>
        <w:t>.</w:t>
      </w:r>
    </w:p>
    <w:p>
      <w:pPr>
        <w:sectPr>
          <w:footerReference w:type="default" r:id="rId2"/>
          <w:type w:val="nextPage"/>
          <w:pgSz w:w="11906" w:h="16838"/>
          <w:pgMar w:left="1134" w:right="850" w:gutter="0" w:header="0" w:top="851" w:footer="567" w:bottom="851"/>
          <w:pgNumType w:fmt="decimal"/>
          <w:formProt w:val="false"/>
          <w:textDirection w:val="lrTb"/>
          <w:docGrid w:type="default" w:linePitch="360" w:charSpace="0"/>
        </w:sectPr>
        <w:pStyle w:val="Style29"/>
        <w:keepNext w:val="true"/>
        <w:spacing w:before="240" w:after="0"/>
        <w:jc w:val="center"/>
        <w:rPr/>
      </w:pPr>
      <w:r>
        <w:rPr/>
        <w:t>(</w:t>
      </w:r>
      <w:r>
        <w:rPr>
          <w:sz w:val="26"/>
          <w:szCs w:val="26"/>
        </w:rPr>
        <w:t>Лот № </w:t>
      </w:r>
      <w:r>
        <w:rPr>
          <w:i w:val="false"/>
          <w:iCs w:val="false"/>
          <w:sz w:val="26"/>
          <w:szCs w:val="26"/>
          <w:lang w:val="en-US" w:eastAsia="en-US"/>
        </w:rPr>
        <w:t>0005-ТПИР ОНМ-2026-КБФ</w:t>
      </w:r>
      <w:r>
        <w:rPr/>
        <w:t>)</w:t>
      </w:r>
    </w:p>
    <w:p>
      <w:pPr>
        <w:pStyle w:val="Style28"/>
        <w:numPr>
          <w:ilvl w:val="0"/>
          <w:numId w:val="0"/>
        </w:numPr>
        <w:ind w:left="0" w:hanging="0"/>
        <w:outlineLvl w:val="2"/>
        <w:rPr/>
      </w:pPr>
      <w:r>
        <w:rPr/>
        <w:t>Содержание</w:t>
      </w:r>
    </w:p>
    <w:sdt>
      <w:sdtPr>
        <w:docPartObj>
          <w:docPartGallery w:val="Table of Contents"/>
          <w:docPartUnique w:val="true"/>
        </w:docPartObj>
      </w:sdtPr>
      <w:sdtContent>
        <w:p>
          <w:pPr>
            <w:pStyle w:val="TOC1"/>
            <w:rPr>
              <w:rFonts w:ascii="Calibri" w:hAnsi="Calibri" w:eastAsia="" w:asciiTheme="minorHAnsi" w:eastAsiaTheme="minorEastAsia" w:hAnsiTheme="minorHAnsi"/>
              <w:b w:val="false"/>
              <w:caps w:val="false"/>
              <w:smallCaps w:val="false"/>
              <w:sz w:val="22"/>
              <w:lang w:eastAsia="ru-RU"/>
            </w:rPr>
          </w:pPr>
          <w:r>
            <w:fldChar w:fldCharType="begin"/>
          </w:r>
          <w:r>
            <w:rPr>
              <w:webHidden/>
              <w:rStyle w:val="Style19"/>
              <w:vanish w:val="false"/>
            </w:rPr>
            <w:instrText xml:space="preserve"> TOC \z \u \t "[РГ] Перечисление,5,[РГ] Подпункт,4,[РГ] Пункт,3,[РГ] Подраздел,2,[РГ] Раздел,1,[РГ] Раздел,1,[РГ] Раздел,1,[РГ] Раздел,1,[РГ] Подраздел,2,[РГ] Подраздел,2,[РГ] Подраздел,2,[РГ] Пункт,3,[РГ] Пункт,3,[РГ] Подпункт,4,[РГ] Подпункт,4,[РГ] Перечисление,5,[РГ] Перечисление,5" \h</w:instrText>
          </w:r>
          <w:r>
            <w:rPr>
              <w:webHidden/>
              <w:rStyle w:val="Style19"/>
              <w:vanish w:val="false"/>
            </w:rPr>
            <w:fldChar w:fldCharType="separate"/>
          </w:r>
          <w:hyperlink w:anchor="_Toc220500968">
            <w:r>
              <w:rPr>
                <w:webHidden/>
              </w:rPr>
              <w:fldChar w:fldCharType="begin"/>
            </w:r>
            <w:r>
              <w:rPr>
                <w:webHidden/>
              </w:rPr>
              <w:instrText xml:space="preserve">PAGEREF _Toc220500968 \h</w:instrText>
            </w:r>
            <w:r>
              <w:rPr>
                <w:webHidden/>
              </w:rPr>
              <w:fldChar w:fldCharType="separate"/>
            </w:r>
            <w:r>
              <w:rPr>
                <w:webHidden/>
                <w:rStyle w:val="Style19"/>
                <w:vanish w:val="false"/>
              </w:rPr>
              <w:t>Сокращения</w:t>
              <w:tab/>
              <w:t>5</w:t>
            </w:r>
            <w:r>
              <w:rPr>
                <w:webHidden/>
              </w:rPr>
              <w:fldChar w:fldCharType="end"/>
            </w:r>
          </w:hyperlink>
        </w:p>
        <w:p>
          <w:pPr>
            <w:pStyle w:val="TOC1"/>
            <w:rPr>
              <w:rFonts w:ascii="Calibri" w:hAnsi="Calibri" w:eastAsia="" w:asciiTheme="minorHAnsi" w:eastAsiaTheme="minorEastAsia" w:hAnsiTheme="minorHAnsi"/>
              <w:b w:val="false"/>
              <w:caps w:val="false"/>
              <w:smallCaps w:val="false"/>
              <w:sz w:val="22"/>
              <w:lang w:eastAsia="ru-RU"/>
            </w:rPr>
          </w:pPr>
          <w:hyperlink w:anchor="_Toc220500969">
            <w:r>
              <w:rPr>
                <w:webHidden/>
              </w:rPr>
              <w:fldChar w:fldCharType="begin"/>
            </w:r>
            <w:r>
              <w:rPr>
                <w:webHidden/>
              </w:rPr>
              <w:instrText xml:space="preserve">PAGEREF _Toc220500969 \h</w:instrText>
            </w:r>
            <w:r>
              <w:rPr>
                <w:webHidden/>
              </w:rPr>
              <w:fldChar w:fldCharType="separate"/>
            </w:r>
            <w:r>
              <w:rPr>
                <w:webHidden/>
                <w:rStyle w:val="Style19"/>
                <w:vanish w:val="false"/>
              </w:rPr>
              <w:t>Термины и определения</w:t>
              <w:tab/>
              <w:t>7</w:t>
            </w:r>
            <w:r>
              <w:rPr>
                <w:webHidden/>
              </w:rPr>
              <w:fldChar w:fldCharType="end"/>
            </w:r>
          </w:hyperlink>
        </w:p>
        <w:p>
          <w:pPr>
            <w:pStyle w:val="TOC1"/>
            <w:rPr>
              <w:rFonts w:ascii="Calibri" w:hAnsi="Calibri" w:eastAsia="" w:asciiTheme="minorHAnsi" w:eastAsiaTheme="minorEastAsia" w:hAnsiTheme="minorHAnsi"/>
              <w:b w:val="false"/>
              <w:caps w:val="false"/>
              <w:smallCaps w:val="false"/>
              <w:sz w:val="22"/>
              <w:lang w:eastAsia="ru-RU"/>
            </w:rPr>
          </w:pPr>
          <w:hyperlink w:anchor="_Toc220500970">
            <w:r>
              <w:rPr>
                <w:webHidden/>
                <w:rStyle w:val="Style19"/>
                <w:vanish w:val="false"/>
              </w:rPr>
              <w:t>1.</w:t>
            </w:r>
            <w:r>
              <w:rPr>
                <w:rStyle w:val="Style19"/>
                <w:rFonts w:eastAsia="" w:ascii="Calibri" w:hAnsi="Calibri" w:asciiTheme="minorHAnsi" w:eastAsiaTheme="minorEastAsia" w:hAnsiTheme="minorHAnsi"/>
                <w:b w:val="false"/>
                <w:caps w:val="false"/>
                <w:smallCaps w:val="false"/>
                <w:sz w:val="22"/>
                <w:lang w:eastAsia="ru-RU"/>
              </w:rPr>
              <w:tab/>
            </w:r>
            <w:r>
              <w:rPr>
                <w:rStyle w:val="Style19"/>
              </w:rPr>
              <w:t>Основные сведения о закупке</w:t>
            </w:r>
            <w:r>
              <w:rPr>
                <w:webHidden/>
              </w:rPr>
              <w:fldChar w:fldCharType="begin"/>
            </w:r>
            <w:r>
              <w:rPr>
                <w:webHidden/>
              </w:rPr>
              <w:instrText xml:space="preserve">PAGEREF _Toc220500970 \h</w:instrText>
            </w:r>
            <w:r>
              <w:rPr>
                <w:webHidden/>
              </w:rPr>
              <w:fldChar w:fldCharType="separate"/>
            </w:r>
            <w:r>
              <w:rPr>
                <w:rStyle w:val="Style19"/>
                <w:vanish w:val="false"/>
              </w:rPr>
              <w:tab/>
              <w:t>11</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0971">
            <w:r>
              <w:rPr>
                <w:webHidden/>
                <w:rStyle w:val="Style19"/>
                <w:vanish w:val="false"/>
              </w:rPr>
              <w:t>1.1</w:t>
            </w:r>
            <w:r>
              <w:rPr>
                <w:rStyle w:val="Style19"/>
                <w:rFonts w:eastAsia="" w:ascii="Calibri" w:hAnsi="Calibri" w:asciiTheme="minorHAnsi" w:eastAsiaTheme="minorEastAsia" w:hAnsiTheme="minorHAnsi"/>
                <w:sz w:val="22"/>
                <w:lang w:eastAsia="ru-RU"/>
              </w:rPr>
              <w:tab/>
            </w:r>
            <w:r>
              <w:rPr>
                <w:rStyle w:val="Style19"/>
              </w:rPr>
              <w:t>Статус настоящего раздела</w:t>
            </w:r>
            <w:r>
              <w:rPr>
                <w:webHidden/>
              </w:rPr>
              <w:fldChar w:fldCharType="begin"/>
            </w:r>
            <w:r>
              <w:rPr>
                <w:webHidden/>
              </w:rPr>
              <w:instrText xml:space="preserve">PAGEREF _Toc220500971 \h</w:instrText>
            </w:r>
            <w:r>
              <w:rPr>
                <w:webHidden/>
              </w:rPr>
              <w:fldChar w:fldCharType="separate"/>
            </w:r>
            <w:r>
              <w:rPr>
                <w:rStyle w:val="Style19"/>
                <w:vanish w:val="false"/>
              </w:rPr>
              <w:tab/>
              <w:t>11</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0972">
            <w:r>
              <w:rPr>
                <w:webHidden/>
                <w:rStyle w:val="Style19"/>
                <w:vanish w:val="false"/>
              </w:rPr>
              <w:t>1.2</w:t>
            </w:r>
            <w:r>
              <w:rPr>
                <w:rStyle w:val="Style19"/>
                <w:rFonts w:eastAsia="" w:ascii="Calibri" w:hAnsi="Calibri" w:asciiTheme="minorHAnsi" w:eastAsiaTheme="minorEastAsia" w:hAnsiTheme="minorHAnsi"/>
                <w:sz w:val="22"/>
                <w:lang w:eastAsia="ru-RU"/>
              </w:rPr>
              <w:tab/>
            </w:r>
            <w:r>
              <w:rPr>
                <w:rStyle w:val="Style19"/>
              </w:rPr>
              <w:t>Информация о проводимой закупке</w:t>
            </w:r>
            <w:r>
              <w:rPr>
                <w:webHidden/>
              </w:rPr>
              <w:fldChar w:fldCharType="begin"/>
            </w:r>
            <w:r>
              <w:rPr>
                <w:webHidden/>
              </w:rPr>
              <w:instrText xml:space="preserve">PAGEREF _Toc220500972 \h</w:instrText>
            </w:r>
            <w:r>
              <w:rPr>
                <w:webHidden/>
              </w:rPr>
              <w:fldChar w:fldCharType="separate"/>
            </w:r>
            <w:r>
              <w:rPr>
                <w:rStyle w:val="Style19"/>
                <w:vanish w:val="false"/>
              </w:rPr>
              <w:tab/>
              <w:t>11</w:t>
            </w:r>
            <w:r>
              <w:rPr>
                <w:webHidden/>
              </w:rPr>
              <w:fldChar w:fldCharType="end"/>
            </w:r>
          </w:hyperlink>
        </w:p>
        <w:p>
          <w:pPr>
            <w:pStyle w:val="TOC1"/>
            <w:rPr>
              <w:rFonts w:ascii="Calibri" w:hAnsi="Calibri" w:eastAsia="" w:asciiTheme="minorHAnsi" w:eastAsiaTheme="minorEastAsia" w:hAnsiTheme="minorHAnsi"/>
              <w:b w:val="false"/>
              <w:caps w:val="false"/>
              <w:smallCaps w:val="false"/>
              <w:sz w:val="22"/>
              <w:lang w:eastAsia="ru-RU"/>
            </w:rPr>
          </w:pPr>
          <w:hyperlink w:anchor="_Toc220500973">
            <w:r>
              <w:rPr>
                <w:webHidden/>
                <w:rStyle w:val="Style19"/>
                <w:vanish w:val="false"/>
              </w:rPr>
              <w:t>2.</w:t>
            </w:r>
            <w:r>
              <w:rPr>
                <w:rStyle w:val="Style19"/>
                <w:rFonts w:eastAsia="" w:ascii="Calibri" w:hAnsi="Calibri" w:asciiTheme="minorHAnsi" w:eastAsiaTheme="minorEastAsia" w:hAnsiTheme="minorHAnsi"/>
                <w:b w:val="false"/>
                <w:caps w:val="false"/>
                <w:smallCaps w:val="false"/>
                <w:sz w:val="22"/>
                <w:lang w:eastAsia="ru-RU"/>
              </w:rPr>
              <w:tab/>
            </w:r>
            <w:r>
              <w:rPr>
                <w:rStyle w:val="Style19"/>
              </w:rPr>
              <w:t>Общие положения</w:t>
            </w:r>
            <w:r>
              <w:rPr>
                <w:webHidden/>
              </w:rPr>
              <w:fldChar w:fldCharType="begin"/>
            </w:r>
            <w:r>
              <w:rPr>
                <w:webHidden/>
              </w:rPr>
              <w:instrText xml:space="preserve">PAGEREF _Toc220500973 \h</w:instrText>
            </w:r>
            <w:r>
              <w:rPr>
                <w:webHidden/>
              </w:rPr>
              <w:fldChar w:fldCharType="separate"/>
            </w:r>
            <w:r>
              <w:rPr>
                <w:rStyle w:val="Style19"/>
                <w:vanish w:val="false"/>
              </w:rPr>
              <w:tab/>
              <w:t>16</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0974">
            <w:r>
              <w:rPr>
                <w:webHidden/>
                <w:rStyle w:val="Style19"/>
                <w:vanish w:val="false"/>
              </w:rPr>
              <w:t>2.1</w:t>
            </w:r>
            <w:r>
              <w:rPr>
                <w:rStyle w:val="Style19"/>
                <w:rFonts w:eastAsia="" w:ascii="Calibri" w:hAnsi="Calibri" w:asciiTheme="minorHAnsi" w:eastAsiaTheme="minorEastAsia" w:hAnsiTheme="minorHAnsi"/>
                <w:sz w:val="22"/>
                <w:lang w:eastAsia="ru-RU"/>
              </w:rPr>
              <w:tab/>
            </w:r>
            <w:r>
              <w:rPr>
                <w:rStyle w:val="Style19"/>
              </w:rPr>
              <w:t>Общие сведения о закупке</w:t>
            </w:r>
            <w:r>
              <w:rPr>
                <w:webHidden/>
              </w:rPr>
              <w:fldChar w:fldCharType="begin"/>
            </w:r>
            <w:r>
              <w:rPr>
                <w:webHidden/>
              </w:rPr>
              <w:instrText xml:space="preserve">PAGEREF _Toc220500974 \h</w:instrText>
            </w:r>
            <w:r>
              <w:rPr>
                <w:webHidden/>
              </w:rPr>
              <w:fldChar w:fldCharType="separate"/>
            </w:r>
            <w:r>
              <w:rPr>
                <w:rStyle w:val="Style19"/>
                <w:vanish w:val="false"/>
              </w:rPr>
              <w:tab/>
              <w:t>16</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0975">
            <w:r>
              <w:rPr>
                <w:webHidden/>
                <w:rStyle w:val="Style19"/>
                <w:vanish w:val="false"/>
              </w:rPr>
              <w:t>2.2</w:t>
            </w:r>
            <w:r>
              <w:rPr>
                <w:rStyle w:val="Style19"/>
                <w:rFonts w:eastAsia="" w:ascii="Calibri" w:hAnsi="Calibri" w:asciiTheme="minorHAnsi" w:eastAsiaTheme="minorEastAsia" w:hAnsiTheme="minorHAnsi"/>
                <w:sz w:val="22"/>
                <w:lang w:eastAsia="ru-RU"/>
              </w:rPr>
              <w:tab/>
            </w:r>
            <w:r>
              <w:rPr>
                <w:rStyle w:val="Style19"/>
              </w:rPr>
              <w:t>Правовой статус документов</w:t>
            </w:r>
            <w:r>
              <w:rPr>
                <w:webHidden/>
              </w:rPr>
              <w:fldChar w:fldCharType="begin"/>
            </w:r>
            <w:r>
              <w:rPr>
                <w:webHidden/>
              </w:rPr>
              <w:instrText xml:space="preserve">PAGEREF _Toc220500975 \h</w:instrText>
            </w:r>
            <w:r>
              <w:rPr>
                <w:webHidden/>
              </w:rPr>
              <w:fldChar w:fldCharType="separate"/>
            </w:r>
            <w:r>
              <w:rPr>
                <w:rStyle w:val="Style19"/>
                <w:vanish w:val="false"/>
              </w:rPr>
              <w:tab/>
              <w:t>16</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0976">
            <w:r>
              <w:rPr>
                <w:webHidden/>
                <w:rStyle w:val="Style19"/>
                <w:vanish w:val="false"/>
              </w:rPr>
              <w:t>2.3</w:t>
            </w:r>
            <w:r>
              <w:rPr>
                <w:rStyle w:val="Style19"/>
                <w:rFonts w:eastAsia="" w:ascii="Calibri" w:hAnsi="Calibri" w:asciiTheme="minorHAnsi" w:eastAsiaTheme="minorEastAsia" w:hAnsiTheme="minorHAnsi"/>
                <w:sz w:val="22"/>
                <w:lang w:eastAsia="ru-RU"/>
              </w:rPr>
              <w:tab/>
            </w:r>
            <w:r>
              <w:rPr>
                <w:rStyle w:val="Style19"/>
              </w:rPr>
              <w:t>Обжалование</w:t>
            </w:r>
            <w:r>
              <w:rPr>
                <w:webHidden/>
              </w:rPr>
              <w:fldChar w:fldCharType="begin"/>
            </w:r>
            <w:r>
              <w:rPr>
                <w:webHidden/>
              </w:rPr>
              <w:instrText xml:space="preserve">PAGEREF _Toc220500976 \h</w:instrText>
            </w:r>
            <w:r>
              <w:rPr>
                <w:webHidden/>
              </w:rPr>
              <w:fldChar w:fldCharType="separate"/>
            </w:r>
            <w:r>
              <w:rPr>
                <w:rStyle w:val="Style19"/>
                <w:vanish w:val="false"/>
              </w:rPr>
              <w:tab/>
              <w:t>17</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0977">
            <w:r>
              <w:rPr>
                <w:webHidden/>
                <w:rStyle w:val="Style19"/>
                <w:vanish w:val="false"/>
              </w:rPr>
              <w:t>2.4</w:t>
            </w:r>
            <w:r>
              <w:rPr>
                <w:rStyle w:val="Style19"/>
                <w:rFonts w:eastAsia="" w:ascii="Calibri" w:hAnsi="Calibri" w:asciiTheme="minorHAnsi" w:eastAsiaTheme="minorEastAsia" w:hAnsiTheme="minorHAnsi"/>
                <w:sz w:val="22"/>
                <w:lang w:eastAsia="ru-RU"/>
              </w:rPr>
              <w:tab/>
            </w:r>
            <w:r>
              <w:rPr>
                <w:rStyle w:val="Style19"/>
              </w:rPr>
              <w:t>Особые положения при проведении закупки с использованием ЭП</w:t>
            </w:r>
            <w:r>
              <w:rPr>
                <w:webHidden/>
              </w:rPr>
              <w:fldChar w:fldCharType="begin"/>
            </w:r>
            <w:r>
              <w:rPr>
                <w:webHidden/>
              </w:rPr>
              <w:instrText xml:space="preserve">PAGEREF _Toc220500977 \h</w:instrText>
            </w:r>
            <w:r>
              <w:rPr>
                <w:webHidden/>
              </w:rPr>
              <w:fldChar w:fldCharType="separate"/>
            </w:r>
            <w:r>
              <w:rPr>
                <w:rStyle w:val="Style19"/>
                <w:vanish w:val="false"/>
              </w:rPr>
              <w:tab/>
              <w:t>18</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0978">
            <w:r>
              <w:rPr>
                <w:webHidden/>
                <w:rStyle w:val="Style19"/>
                <w:vanish w:val="false"/>
              </w:rPr>
              <w:t>2.5</w:t>
            </w:r>
            <w:r>
              <w:rPr>
                <w:rStyle w:val="Style19"/>
                <w:rFonts w:eastAsia="" w:ascii="Calibri" w:hAnsi="Calibri" w:asciiTheme="minorHAnsi" w:eastAsiaTheme="minorEastAsia" w:hAnsiTheme="minorHAnsi"/>
                <w:sz w:val="22"/>
                <w:lang w:eastAsia="ru-RU"/>
              </w:rPr>
              <w:tab/>
            </w:r>
            <w:r>
              <w:rPr>
                <w:rStyle w:val="Style19"/>
              </w:rPr>
              <w:t>Прочие положения</w:t>
            </w:r>
            <w:r>
              <w:rPr>
                <w:webHidden/>
              </w:rPr>
              <w:fldChar w:fldCharType="begin"/>
            </w:r>
            <w:r>
              <w:rPr>
                <w:webHidden/>
              </w:rPr>
              <w:instrText xml:space="preserve">PAGEREF _Toc220500978 \h</w:instrText>
            </w:r>
            <w:r>
              <w:rPr>
                <w:webHidden/>
              </w:rPr>
              <w:fldChar w:fldCharType="separate"/>
            </w:r>
            <w:r>
              <w:rPr>
                <w:rStyle w:val="Style19"/>
                <w:vanish w:val="false"/>
              </w:rPr>
              <w:tab/>
              <w:t>18</w:t>
            </w:r>
            <w:r>
              <w:rPr>
                <w:webHidden/>
              </w:rPr>
              <w:fldChar w:fldCharType="end"/>
            </w:r>
          </w:hyperlink>
        </w:p>
        <w:p>
          <w:pPr>
            <w:pStyle w:val="TOC1"/>
            <w:rPr>
              <w:rFonts w:ascii="Calibri" w:hAnsi="Calibri" w:eastAsia="" w:asciiTheme="minorHAnsi" w:eastAsiaTheme="minorEastAsia" w:hAnsiTheme="minorHAnsi"/>
              <w:b w:val="false"/>
              <w:caps w:val="false"/>
              <w:smallCaps w:val="false"/>
              <w:sz w:val="22"/>
              <w:lang w:eastAsia="ru-RU"/>
            </w:rPr>
          </w:pPr>
          <w:hyperlink w:anchor="_Toc220500979">
            <w:r>
              <w:rPr>
                <w:webHidden/>
                <w:rStyle w:val="Style19"/>
                <w:vanish w:val="false"/>
              </w:rPr>
              <w:t>3.</w:t>
            </w:r>
            <w:r>
              <w:rPr>
                <w:rStyle w:val="Style19"/>
                <w:rFonts w:eastAsia="" w:ascii="Calibri" w:hAnsi="Calibri" w:asciiTheme="minorHAnsi" w:eastAsiaTheme="minorEastAsia" w:hAnsiTheme="minorHAnsi"/>
                <w:b w:val="false"/>
                <w:caps w:val="false"/>
                <w:smallCaps w:val="false"/>
                <w:sz w:val="22"/>
                <w:lang w:eastAsia="ru-RU"/>
              </w:rPr>
              <w:tab/>
            </w:r>
            <w:r>
              <w:rPr>
                <w:rStyle w:val="Style19"/>
              </w:rPr>
              <w:t>Требования к Участникам</w:t>
            </w:r>
            <w:r>
              <w:rPr>
                <w:webHidden/>
              </w:rPr>
              <w:fldChar w:fldCharType="begin"/>
            </w:r>
            <w:r>
              <w:rPr>
                <w:webHidden/>
              </w:rPr>
              <w:instrText xml:space="preserve">PAGEREF _Toc220500979 \h</w:instrText>
            </w:r>
            <w:r>
              <w:rPr>
                <w:webHidden/>
              </w:rPr>
              <w:fldChar w:fldCharType="separate"/>
            </w:r>
            <w:r>
              <w:rPr>
                <w:rStyle w:val="Style19"/>
                <w:vanish w:val="false"/>
              </w:rPr>
              <w:tab/>
              <w:t>19</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0980">
            <w:r>
              <w:rPr>
                <w:webHidden/>
                <w:rStyle w:val="Style19"/>
                <w:vanish w:val="false"/>
              </w:rPr>
              <w:t>3.1</w:t>
            </w:r>
            <w:r>
              <w:rPr>
                <w:rStyle w:val="Style19"/>
                <w:rFonts w:eastAsia="" w:ascii="Calibri" w:hAnsi="Calibri" w:asciiTheme="minorHAnsi" w:eastAsiaTheme="minorEastAsia" w:hAnsiTheme="minorHAnsi"/>
                <w:sz w:val="22"/>
                <w:lang w:eastAsia="ru-RU"/>
              </w:rPr>
              <w:tab/>
            </w:r>
            <w:r>
              <w:rPr>
                <w:rStyle w:val="Style19"/>
              </w:rPr>
              <w:t>Общие требования к Участникам</w:t>
            </w:r>
            <w:r>
              <w:rPr>
                <w:webHidden/>
              </w:rPr>
              <w:fldChar w:fldCharType="begin"/>
            </w:r>
            <w:r>
              <w:rPr>
                <w:webHidden/>
              </w:rPr>
              <w:instrText xml:space="preserve">PAGEREF _Toc220500980 \h</w:instrText>
            </w:r>
            <w:r>
              <w:rPr>
                <w:webHidden/>
              </w:rPr>
              <w:fldChar w:fldCharType="separate"/>
            </w:r>
            <w:r>
              <w:rPr>
                <w:rStyle w:val="Style19"/>
                <w:vanish w:val="false"/>
              </w:rPr>
              <w:tab/>
              <w:t>19</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0981">
            <w:r>
              <w:rPr>
                <w:webHidden/>
                <w:rStyle w:val="Style19"/>
                <w:vanish w:val="false"/>
              </w:rPr>
              <w:t>3.2</w:t>
            </w:r>
            <w:r>
              <w:rPr>
                <w:rStyle w:val="Style19"/>
                <w:rFonts w:eastAsia="" w:ascii="Calibri" w:hAnsi="Calibri" w:asciiTheme="minorHAnsi" w:eastAsiaTheme="minorEastAsia" w:hAnsiTheme="minorHAnsi"/>
                <w:sz w:val="22"/>
                <w:lang w:eastAsia="ru-RU"/>
              </w:rPr>
              <w:tab/>
            </w:r>
            <w:r>
              <w:rPr>
                <w:rStyle w:val="Style19"/>
              </w:rPr>
              <w:t>Коллективные участники</w:t>
            </w:r>
            <w:r>
              <w:rPr>
                <w:webHidden/>
              </w:rPr>
              <w:fldChar w:fldCharType="begin"/>
            </w:r>
            <w:r>
              <w:rPr>
                <w:webHidden/>
              </w:rPr>
              <w:instrText xml:space="preserve">PAGEREF _Toc220500981 \h</w:instrText>
            </w:r>
            <w:r>
              <w:rPr>
                <w:webHidden/>
              </w:rPr>
              <w:fldChar w:fldCharType="separate"/>
            </w:r>
            <w:r>
              <w:rPr>
                <w:rStyle w:val="Style19"/>
                <w:vanish w:val="false"/>
              </w:rPr>
              <w:tab/>
              <w:t>19</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0982">
            <w:r>
              <w:rPr>
                <w:webHidden/>
                <w:rStyle w:val="Style19"/>
                <w:vanish w:val="false"/>
              </w:rPr>
              <w:t>3.3</w:t>
            </w:r>
            <w:r>
              <w:rPr>
                <w:rStyle w:val="Style19"/>
                <w:rFonts w:eastAsia="" w:ascii="Calibri" w:hAnsi="Calibri" w:asciiTheme="minorHAnsi" w:eastAsiaTheme="minorEastAsia" w:hAnsiTheme="minorHAnsi"/>
                <w:sz w:val="22"/>
                <w:lang w:eastAsia="ru-RU"/>
              </w:rPr>
              <w:tab/>
            </w:r>
            <w:r>
              <w:rPr>
                <w:rStyle w:val="Style19"/>
              </w:rPr>
              <w:t>Генеральные подрядчики</w:t>
            </w:r>
            <w:r>
              <w:rPr>
                <w:webHidden/>
              </w:rPr>
              <w:fldChar w:fldCharType="begin"/>
            </w:r>
            <w:r>
              <w:rPr>
                <w:webHidden/>
              </w:rPr>
              <w:instrText xml:space="preserve">PAGEREF _Toc220500982 \h</w:instrText>
            </w:r>
            <w:r>
              <w:rPr>
                <w:webHidden/>
              </w:rPr>
              <w:fldChar w:fldCharType="separate"/>
            </w:r>
            <w:r>
              <w:rPr>
                <w:rStyle w:val="Style19"/>
                <w:vanish w:val="false"/>
              </w:rPr>
              <w:tab/>
              <w:t>21</w:t>
            </w:r>
            <w:r>
              <w:rPr>
                <w:webHidden/>
              </w:rPr>
              <w:fldChar w:fldCharType="end"/>
            </w:r>
          </w:hyperlink>
        </w:p>
        <w:p>
          <w:pPr>
            <w:pStyle w:val="TOC1"/>
            <w:rPr>
              <w:rFonts w:ascii="Calibri" w:hAnsi="Calibri" w:eastAsia="" w:asciiTheme="minorHAnsi" w:eastAsiaTheme="minorEastAsia" w:hAnsiTheme="minorHAnsi"/>
              <w:b w:val="false"/>
              <w:caps w:val="false"/>
              <w:smallCaps w:val="false"/>
              <w:sz w:val="22"/>
              <w:lang w:eastAsia="ru-RU"/>
            </w:rPr>
          </w:pPr>
          <w:hyperlink w:anchor="_Toc220500983">
            <w:r>
              <w:rPr>
                <w:webHidden/>
                <w:rStyle w:val="Style19"/>
                <w:vanish w:val="false"/>
              </w:rPr>
              <w:t>4.</w:t>
            </w:r>
            <w:r>
              <w:rPr>
                <w:rStyle w:val="Style19"/>
                <w:rFonts w:eastAsia="" w:ascii="Calibri" w:hAnsi="Calibri" w:asciiTheme="minorHAnsi" w:eastAsiaTheme="minorEastAsia" w:hAnsiTheme="minorHAnsi"/>
                <w:b w:val="false"/>
                <w:caps w:val="false"/>
                <w:smallCaps w:val="false"/>
                <w:sz w:val="22"/>
                <w:lang w:eastAsia="ru-RU"/>
              </w:rPr>
              <w:tab/>
            </w:r>
            <w:r>
              <w:rPr>
                <w:rStyle w:val="Style19"/>
              </w:rPr>
              <w:t>Порядок проведения закупки</w:t>
            </w:r>
            <w:r>
              <w:rPr>
                <w:webHidden/>
              </w:rPr>
              <w:fldChar w:fldCharType="begin"/>
            </w:r>
            <w:r>
              <w:rPr>
                <w:webHidden/>
              </w:rPr>
              <w:instrText xml:space="preserve">PAGEREF _Toc220500983 \h</w:instrText>
            </w:r>
            <w:r>
              <w:rPr>
                <w:webHidden/>
              </w:rPr>
              <w:fldChar w:fldCharType="separate"/>
            </w:r>
            <w:r>
              <w:rPr>
                <w:rStyle w:val="Style19"/>
                <w:vanish w:val="false"/>
              </w:rPr>
              <w:tab/>
              <w:t>23</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0984">
            <w:r>
              <w:rPr>
                <w:webHidden/>
                <w:rStyle w:val="Style19"/>
                <w:vanish w:val="false"/>
              </w:rPr>
              <w:t>4.1</w:t>
            </w:r>
            <w:r>
              <w:rPr>
                <w:rStyle w:val="Style19"/>
                <w:rFonts w:eastAsia="" w:ascii="Calibri" w:hAnsi="Calibri" w:asciiTheme="minorHAnsi" w:eastAsiaTheme="minorEastAsia" w:hAnsiTheme="minorHAnsi"/>
                <w:sz w:val="22"/>
                <w:lang w:eastAsia="ru-RU"/>
              </w:rPr>
              <w:tab/>
            </w:r>
            <w:r>
              <w:rPr>
                <w:rStyle w:val="Style19"/>
              </w:rPr>
              <w:t>Общий порядок проведения закупки</w:t>
            </w:r>
            <w:r>
              <w:rPr>
                <w:webHidden/>
              </w:rPr>
              <w:fldChar w:fldCharType="begin"/>
            </w:r>
            <w:r>
              <w:rPr>
                <w:webHidden/>
              </w:rPr>
              <w:instrText xml:space="preserve">PAGEREF _Toc220500984 \h</w:instrText>
            </w:r>
            <w:r>
              <w:rPr>
                <w:webHidden/>
              </w:rPr>
              <w:fldChar w:fldCharType="separate"/>
            </w:r>
            <w:r>
              <w:rPr>
                <w:rStyle w:val="Style19"/>
                <w:vanish w:val="false"/>
              </w:rPr>
              <w:tab/>
              <w:t>23</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0985">
            <w:r>
              <w:rPr>
                <w:webHidden/>
                <w:rStyle w:val="Style19"/>
                <w:vanish w:val="false"/>
              </w:rPr>
              <w:t>4.2</w:t>
            </w:r>
            <w:r>
              <w:rPr>
                <w:rStyle w:val="Style19"/>
                <w:rFonts w:eastAsia="" w:ascii="Calibri" w:hAnsi="Calibri" w:asciiTheme="minorHAnsi" w:eastAsiaTheme="minorEastAsia" w:hAnsiTheme="minorHAnsi"/>
                <w:sz w:val="22"/>
                <w:lang w:eastAsia="ru-RU"/>
              </w:rPr>
              <w:tab/>
            </w:r>
            <w:r>
              <w:rPr>
                <w:rStyle w:val="Style19"/>
              </w:rPr>
              <w:t>Официальное размещение Извещения и Документации о закупке</w:t>
            </w:r>
            <w:r>
              <w:rPr>
                <w:webHidden/>
              </w:rPr>
              <w:fldChar w:fldCharType="begin"/>
            </w:r>
            <w:r>
              <w:rPr>
                <w:webHidden/>
              </w:rPr>
              <w:instrText xml:space="preserve">PAGEREF _Toc220500985 \h</w:instrText>
            </w:r>
            <w:r>
              <w:rPr>
                <w:webHidden/>
              </w:rPr>
              <w:fldChar w:fldCharType="separate"/>
            </w:r>
            <w:r>
              <w:rPr>
                <w:rStyle w:val="Style19"/>
                <w:vanish w:val="false"/>
              </w:rPr>
              <w:tab/>
              <w:t>25</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0986">
            <w:r>
              <w:rPr>
                <w:webHidden/>
                <w:rStyle w:val="Style19"/>
                <w:vanish w:val="false"/>
              </w:rPr>
              <w:t>4.3</w:t>
            </w:r>
            <w:r>
              <w:rPr>
                <w:rStyle w:val="Style19"/>
                <w:rFonts w:eastAsia="" w:ascii="Calibri" w:hAnsi="Calibri" w:asciiTheme="minorHAnsi" w:eastAsiaTheme="minorEastAsia" w:hAnsiTheme="minorHAnsi"/>
                <w:sz w:val="22"/>
                <w:lang w:eastAsia="ru-RU"/>
              </w:rPr>
              <w:tab/>
            </w:r>
            <w:r>
              <w:rPr>
                <w:rStyle w:val="Style19"/>
              </w:rPr>
              <w:t>Подготовка заявки</w:t>
            </w:r>
            <w:r>
              <w:rPr>
                <w:webHidden/>
              </w:rPr>
              <w:fldChar w:fldCharType="begin"/>
            </w:r>
            <w:r>
              <w:rPr>
                <w:webHidden/>
              </w:rPr>
              <w:instrText xml:space="preserve">PAGEREF _Toc220500986 \h</w:instrText>
            </w:r>
            <w:r>
              <w:rPr>
                <w:webHidden/>
              </w:rPr>
              <w:fldChar w:fldCharType="separate"/>
            </w:r>
            <w:r>
              <w:rPr>
                <w:rStyle w:val="Style19"/>
                <w:vanish w:val="false"/>
              </w:rPr>
              <w:tab/>
              <w:t>25</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0987">
            <w:r>
              <w:rPr>
                <w:webHidden/>
                <w:rStyle w:val="Style19"/>
                <w:vanish w:val="false"/>
              </w:rPr>
              <w:t>4.4</w:t>
            </w:r>
            <w:r>
              <w:rPr>
                <w:rStyle w:val="Style19"/>
                <w:rFonts w:eastAsia="" w:ascii="Calibri" w:hAnsi="Calibri" w:asciiTheme="minorHAnsi" w:eastAsiaTheme="minorEastAsia" w:hAnsiTheme="minorHAnsi"/>
                <w:sz w:val="22"/>
                <w:lang w:eastAsia="ru-RU"/>
              </w:rPr>
              <w:tab/>
            </w:r>
            <w:r>
              <w:rPr>
                <w:rStyle w:val="Style19"/>
              </w:rPr>
              <w:t>Разъяснение Документации о закупке</w:t>
            </w:r>
            <w:r>
              <w:rPr>
                <w:webHidden/>
              </w:rPr>
              <w:fldChar w:fldCharType="begin"/>
            </w:r>
            <w:r>
              <w:rPr>
                <w:webHidden/>
              </w:rPr>
              <w:instrText xml:space="preserve">PAGEREF _Toc220500987 \h</w:instrText>
            </w:r>
            <w:r>
              <w:rPr>
                <w:webHidden/>
              </w:rPr>
              <w:fldChar w:fldCharType="separate"/>
            </w:r>
            <w:r>
              <w:rPr>
                <w:rStyle w:val="Style19"/>
                <w:vanish w:val="false"/>
              </w:rPr>
              <w:tab/>
              <w:t>28</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0988">
            <w:r>
              <w:rPr>
                <w:webHidden/>
                <w:rStyle w:val="Style19"/>
                <w:vanish w:val="false"/>
              </w:rPr>
              <w:t>4.5</w:t>
            </w:r>
            <w:r>
              <w:rPr>
                <w:rStyle w:val="Style19"/>
                <w:rFonts w:eastAsia="" w:ascii="Calibri" w:hAnsi="Calibri" w:asciiTheme="minorHAnsi" w:eastAsiaTheme="minorEastAsia" w:hAnsiTheme="minorHAnsi"/>
                <w:sz w:val="22"/>
                <w:lang w:eastAsia="ru-RU"/>
              </w:rPr>
              <w:tab/>
            </w:r>
            <w:r>
              <w:rPr>
                <w:rStyle w:val="Style19"/>
              </w:rPr>
              <w:t>Изменения Извещения и (или) Документации о закупке</w:t>
            </w:r>
            <w:r>
              <w:rPr>
                <w:webHidden/>
              </w:rPr>
              <w:fldChar w:fldCharType="begin"/>
            </w:r>
            <w:r>
              <w:rPr>
                <w:webHidden/>
              </w:rPr>
              <w:instrText xml:space="preserve">PAGEREF _Toc220500988 \h</w:instrText>
            </w:r>
            <w:r>
              <w:rPr>
                <w:webHidden/>
              </w:rPr>
              <w:fldChar w:fldCharType="separate"/>
            </w:r>
            <w:r>
              <w:rPr>
                <w:rStyle w:val="Style19"/>
                <w:vanish w:val="false"/>
              </w:rPr>
              <w:tab/>
              <w:t>28</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0989">
            <w:r>
              <w:rPr>
                <w:webHidden/>
                <w:rStyle w:val="Style19"/>
                <w:vanish w:val="false"/>
              </w:rPr>
              <w:t>4.6</w:t>
            </w:r>
            <w:r>
              <w:rPr>
                <w:rStyle w:val="Style19"/>
                <w:rFonts w:eastAsia="" w:ascii="Calibri" w:hAnsi="Calibri" w:asciiTheme="minorHAnsi" w:eastAsiaTheme="minorEastAsia" w:hAnsiTheme="minorHAnsi"/>
                <w:sz w:val="22"/>
                <w:lang w:eastAsia="ru-RU"/>
              </w:rPr>
              <w:tab/>
            </w:r>
            <w:r>
              <w:rPr>
                <w:rStyle w:val="Style19"/>
              </w:rPr>
              <w:t>Подача заявок и их прием</w:t>
            </w:r>
            <w:r>
              <w:rPr>
                <w:webHidden/>
              </w:rPr>
              <w:fldChar w:fldCharType="begin"/>
            </w:r>
            <w:r>
              <w:rPr>
                <w:webHidden/>
              </w:rPr>
              <w:instrText xml:space="preserve">PAGEREF _Toc220500989 \h</w:instrText>
            </w:r>
            <w:r>
              <w:rPr>
                <w:webHidden/>
              </w:rPr>
              <w:fldChar w:fldCharType="separate"/>
            </w:r>
            <w:r>
              <w:rPr>
                <w:rStyle w:val="Style19"/>
                <w:vanish w:val="false"/>
              </w:rPr>
              <w:tab/>
              <w:t>29</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0990">
            <w:r>
              <w:rPr>
                <w:webHidden/>
                <w:rStyle w:val="Style19"/>
                <w:vanish w:val="false"/>
              </w:rPr>
              <w:t>4.7</w:t>
            </w:r>
            <w:r>
              <w:rPr>
                <w:rStyle w:val="Style19"/>
                <w:rFonts w:eastAsia="" w:ascii="Calibri" w:hAnsi="Calibri" w:asciiTheme="minorHAnsi" w:eastAsiaTheme="minorEastAsia" w:hAnsiTheme="minorHAnsi"/>
                <w:sz w:val="22"/>
                <w:lang w:eastAsia="ru-RU"/>
              </w:rPr>
              <w:tab/>
            </w:r>
            <w:r>
              <w:rPr>
                <w:rStyle w:val="Style19"/>
              </w:rPr>
              <w:t>Изменение и отзыв заявок</w:t>
            </w:r>
            <w:r>
              <w:rPr>
                <w:webHidden/>
              </w:rPr>
              <w:fldChar w:fldCharType="begin"/>
            </w:r>
            <w:r>
              <w:rPr>
                <w:webHidden/>
              </w:rPr>
              <w:instrText xml:space="preserve">PAGEREF _Toc220500990 \h</w:instrText>
            </w:r>
            <w:r>
              <w:rPr>
                <w:webHidden/>
              </w:rPr>
              <w:fldChar w:fldCharType="separate"/>
            </w:r>
            <w:r>
              <w:rPr>
                <w:rStyle w:val="Style19"/>
                <w:vanish w:val="false"/>
              </w:rPr>
              <w:tab/>
              <w:t>29</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0991">
            <w:r>
              <w:rPr>
                <w:webHidden/>
                <w:rStyle w:val="Style19"/>
                <w:vanish w:val="false"/>
              </w:rPr>
              <w:t>4.8</w:t>
            </w:r>
            <w:r>
              <w:rPr>
                <w:rStyle w:val="Style19"/>
                <w:rFonts w:eastAsia="" w:ascii="Calibri" w:hAnsi="Calibri" w:asciiTheme="minorHAnsi" w:eastAsiaTheme="minorEastAsia" w:hAnsiTheme="minorHAnsi"/>
                <w:sz w:val="22"/>
                <w:lang w:eastAsia="ru-RU"/>
              </w:rPr>
              <w:tab/>
            </w:r>
            <w:r>
              <w:rPr>
                <w:rStyle w:val="Style19"/>
              </w:rPr>
              <w:t>Открытие доступа к заявкам</w:t>
            </w:r>
            <w:r>
              <w:rPr>
                <w:webHidden/>
              </w:rPr>
              <w:fldChar w:fldCharType="begin"/>
            </w:r>
            <w:r>
              <w:rPr>
                <w:webHidden/>
              </w:rPr>
              <w:instrText xml:space="preserve">PAGEREF _Toc220500991 \h</w:instrText>
            </w:r>
            <w:r>
              <w:rPr>
                <w:webHidden/>
              </w:rPr>
              <w:fldChar w:fldCharType="separate"/>
            </w:r>
            <w:r>
              <w:rPr>
                <w:rStyle w:val="Style19"/>
                <w:vanish w:val="false"/>
              </w:rPr>
              <w:tab/>
              <w:t>30</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0992">
            <w:r>
              <w:rPr>
                <w:webHidden/>
                <w:rStyle w:val="Style19"/>
                <w:vanish w:val="false"/>
              </w:rPr>
              <w:t>4.9</w:t>
            </w:r>
            <w:r>
              <w:rPr>
                <w:rStyle w:val="Style19"/>
                <w:rFonts w:eastAsia="" w:ascii="Calibri" w:hAnsi="Calibri" w:asciiTheme="minorHAnsi" w:eastAsiaTheme="minorEastAsia" w:hAnsiTheme="minorHAnsi"/>
                <w:sz w:val="22"/>
                <w:lang w:eastAsia="ru-RU"/>
              </w:rPr>
              <w:tab/>
            </w:r>
            <w:r>
              <w:rPr>
                <w:rStyle w:val="Style19"/>
              </w:rPr>
              <w:t>Рассмотрение заявок (отборочная стадия), в том числе (при необходимости) проведение аккредитации</w:t>
            </w:r>
            <w:r>
              <w:rPr>
                <w:webHidden/>
              </w:rPr>
              <w:fldChar w:fldCharType="begin"/>
            </w:r>
            <w:r>
              <w:rPr>
                <w:webHidden/>
              </w:rPr>
              <w:instrText xml:space="preserve">PAGEREF _Toc220500992 \h</w:instrText>
            </w:r>
            <w:r>
              <w:rPr>
                <w:webHidden/>
              </w:rPr>
              <w:fldChar w:fldCharType="separate"/>
            </w:r>
            <w:r>
              <w:rPr>
                <w:rStyle w:val="Style19"/>
                <w:vanish w:val="false"/>
              </w:rPr>
              <w:tab/>
              <w:t>30</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0993">
            <w:r>
              <w:rPr>
                <w:webHidden/>
                <w:rStyle w:val="Style19"/>
                <w:vanish w:val="false"/>
              </w:rPr>
              <w:t>4.10</w:t>
            </w:r>
            <w:r>
              <w:rPr>
                <w:rStyle w:val="Style19"/>
                <w:rFonts w:eastAsia="" w:ascii="Calibri" w:hAnsi="Calibri" w:asciiTheme="minorHAnsi" w:eastAsiaTheme="minorEastAsia" w:hAnsiTheme="minorHAnsi"/>
                <w:sz w:val="22"/>
                <w:lang w:eastAsia="ru-RU"/>
              </w:rPr>
              <w:tab/>
            </w:r>
            <w:r>
              <w:rPr>
                <w:rStyle w:val="Style19"/>
              </w:rPr>
              <w:t>Дополнительные запросы разъяснений заявок</w:t>
            </w:r>
            <w:r>
              <w:rPr>
                <w:webHidden/>
              </w:rPr>
              <w:fldChar w:fldCharType="begin"/>
            </w:r>
            <w:r>
              <w:rPr>
                <w:webHidden/>
              </w:rPr>
              <w:instrText xml:space="preserve">PAGEREF _Toc220500993 \h</w:instrText>
            </w:r>
            <w:r>
              <w:rPr>
                <w:webHidden/>
              </w:rPr>
              <w:fldChar w:fldCharType="separate"/>
            </w:r>
            <w:r>
              <w:rPr>
                <w:rStyle w:val="Style19"/>
                <w:vanish w:val="false"/>
              </w:rPr>
              <w:tab/>
              <w:t>33</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0994">
            <w:r>
              <w:rPr>
                <w:webHidden/>
                <w:rStyle w:val="Style19"/>
                <w:vanish w:val="false"/>
              </w:rPr>
              <w:t>4.11</w:t>
            </w:r>
            <w:r>
              <w:rPr>
                <w:rStyle w:val="Style19"/>
                <w:rFonts w:eastAsia="" w:ascii="Calibri" w:hAnsi="Calibri" w:asciiTheme="minorHAnsi" w:eastAsiaTheme="minorEastAsia" w:hAnsiTheme="minorHAnsi"/>
                <w:sz w:val="22"/>
                <w:lang w:eastAsia="ru-RU"/>
              </w:rPr>
              <w:tab/>
            </w:r>
            <w:r>
              <w:rPr>
                <w:rStyle w:val="Style19"/>
              </w:rPr>
              <w:t>Переторжка</w:t>
            </w:r>
            <w:r>
              <w:rPr>
                <w:webHidden/>
              </w:rPr>
              <w:fldChar w:fldCharType="begin"/>
            </w:r>
            <w:r>
              <w:rPr>
                <w:webHidden/>
              </w:rPr>
              <w:instrText xml:space="preserve">PAGEREF _Toc220500994 \h</w:instrText>
            </w:r>
            <w:r>
              <w:rPr>
                <w:webHidden/>
              </w:rPr>
              <w:fldChar w:fldCharType="separate"/>
            </w:r>
            <w:r>
              <w:rPr>
                <w:rStyle w:val="Style19"/>
                <w:vanish w:val="false"/>
              </w:rPr>
              <w:tab/>
              <w:t>34</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0995">
            <w:r>
              <w:rPr>
                <w:webHidden/>
                <w:rStyle w:val="Style19"/>
                <w:vanish w:val="false"/>
              </w:rPr>
              <w:t>4.12</w:t>
            </w:r>
            <w:r>
              <w:rPr>
                <w:rStyle w:val="Style19"/>
                <w:rFonts w:eastAsia="" w:ascii="Calibri" w:hAnsi="Calibri" w:asciiTheme="minorHAnsi" w:eastAsiaTheme="minorEastAsia" w:hAnsiTheme="minorHAnsi"/>
                <w:sz w:val="22"/>
                <w:lang w:eastAsia="ru-RU"/>
              </w:rPr>
              <w:tab/>
            </w:r>
            <w:r>
              <w:rPr>
                <w:rStyle w:val="Style19"/>
              </w:rPr>
              <w:t>Оценка и сопоставление заявок</w:t>
            </w:r>
            <w:r>
              <w:rPr>
                <w:webHidden/>
              </w:rPr>
              <w:fldChar w:fldCharType="begin"/>
            </w:r>
            <w:r>
              <w:rPr>
                <w:webHidden/>
              </w:rPr>
              <w:instrText xml:space="preserve">PAGEREF _Toc220500995 \h</w:instrText>
            </w:r>
            <w:r>
              <w:rPr>
                <w:webHidden/>
              </w:rPr>
              <w:fldChar w:fldCharType="separate"/>
            </w:r>
            <w:r>
              <w:rPr>
                <w:rStyle w:val="Style19"/>
                <w:vanish w:val="false"/>
              </w:rPr>
              <w:tab/>
              <w:t>36</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0996">
            <w:r>
              <w:rPr>
                <w:webHidden/>
                <w:rStyle w:val="Style19"/>
                <w:vanish w:val="false"/>
              </w:rPr>
              <w:t>4.13</w:t>
            </w:r>
            <w:r>
              <w:rPr>
                <w:rStyle w:val="Style19"/>
                <w:rFonts w:eastAsia="" w:ascii="Calibri" w:hAnsi="Calibri" w:asciiTheme="minorHAnsi" w:eastAsiaTheme="minorEastAsia" w:hAnsiTheme="minorHAnsi"/>
                <w:sz w:val="22"/>
                <w:lang w:eastAsia="ru-RU"/>
              </w:rPr>
              <w:tab/>
            </w:r>
            <w:r>
              <w:rPr>
                <w:rStyle w:val="Style19"/>
              </w:rPr>
              <w:t>Применение законодательства о национальном режиме</w:t>
            </w:r>
            <w:r>
              <w:rPr>
                <w:webHidden/>
              </w:rPr>
              <w:fldChar w:fldCharType="begin"/>
            </w:r>
            <w:r>
              <w:rPr>
                <w:webHidden/>
              </w:rPr>
              <w:instrText xml:space="preserve">PAGEREF _Toc220500996 \h</w:instrText>
            </w:r>
            <w:r>
              <w:rPr>
                <w:webHidden/>
              </w:rPr>
              <w:fldChar w:fldCharType="separate"/>
            </w:r>
            <w:r>
              <w:rPr>
                <w:rStyle w:val="Style19"/>
                <w:vanish w:val="false"/>
              </w:rPr>
              <w:tab/>
              <w:t>38</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0997">
            <w:r>
              <w:rPr>
                <w:webHidden/>
                <w:rStyle w:val="Style19"/>
                <w:vanish w:val="false"/>
              </w:rPr>
              <w:t>4.14</w:t>
            </w:r>
            <w:r>
              <w:rPr>
                <w:rStyle w:val="Style19"/>
                <w:rFonts w:eastAsia="" w:ascii="Calibri" w:hAnsi="Calibri" w:asciiTheme="minorHAnsi" w:eastAsiaTheme="minorEastAsia" w:hAnsiTheme="minorHAnsi"/>
                <w:sz w:val="22"/>
                <w:lang w:eastAsia="ru-RU"/>
              </w:rPr>
              <w:tab/>
            </w:r>
            <w:r>
              <w:rPr>
                <w:rStyle w:val="Style19"/>
              </w:rPr>
              <w:t>Подведение итогов закупки (определение Победителя)</w:t>
            </w:r>
            <w:r>
              <w:rPr>
                <w:webHidden/>
              </w:rPr>
              <w:fldChar w:fldCharType="begin"/>
            </w:r>
            <w:r>
              <w:rPr>
                <w:webHidden/>
              </w:rPr>
              <w:instrText xml:space="preserve">PAGEREF _Toc220500997 \h</w:instrText>
            </w:r>
            <w:r>
              <w:rPr>
                <w:webHidden/>
              </w:rPr>
              <w:fldChar w:fldCharType="separate"/>
            </w:r>
            <w:r>
              <w:rPr>
                <w:rStyle w:val="Style19"/>
                <w:vanish w:val="false"/>
              </w:rPr>
              <w:tab/>
              <w:t>38</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0998">
            <w:r>
              <w:rPr>
                <w:webHidden/>
                <w:rStyle w:val="Style19"/>
                <w:vanish w:val="false"/>
              </w:rPr>
              <w:t>4.15</w:t>
            </w:r>
            <w:r>
              <w:rPr>
                <w:rStyle w:val="Style19"/>
                <w:rFonts w:eastAsia="" w:ascii="Calibri" w:hAnsi="Calibri" w:asciiTheme="minorHAnsi" w:eastAsiaTheme="minorEastAsia" w:hAnsiTheme="minorHAnsi"/>
                <w:sz w:val="22"/>
                <w:lang w:eastAsia="ru-RU"/>
              </w:rPr>
              <w:tab/>
            </w:r>
            <w:r>
              <w:rPr>
                <w:rStyle w:val="Style19"/>
              </w:rPr>
              <w:t>Признание закупки несостоявшейся</w:t>
            </w:r>
            <w:r>
              <w:rPr>
                <w:webHidden/>
              </w:rPr>
              <w:fldChar w:fldCharType="begin"/>
            </w:r>
            <w:r>
              <w:rPr>
                <w:webHidden/>
              </w:rPr>
              <w:instrText xml:space="preserve">PAGEREF _Toc220500998 \h</w:instrText>
            </w:r>
            <w:r>
              <w:rPr>
                <w:webHidden/>
              </w:rPr>
              <w:fldChar w:fldCharType="separate"/>
            </w:r>
            <w:r>
              <w:rPr>
                <w:rStyle w:val="Style19"/>
                <w:vanish w:val="false"/>
              </w:rPr>
              <w:tab/>
              <w:t>40</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0999">
            <w:r>
              <w:rPr>
                <w:webHidden/>
                <w:rStyle w:val="Style19"/>
                <w:vanish w:val="false"/>
              </w:rPr>
              <w:t>4.16</w:t>
            </w:r>
            <w:r>
              <w:rPr>
                <w:rStyle w:val="Style19"/>
                <w:rFonts w:eastAsia="" w:ascii="Calibri" w:hAnsi="Calibri" w:asciiTheme="minorHAnsi" w:eastAsiaTheme="minorEastAsia" w:hAnsiTheme="minorHAnsi"/>
                <w:sz w:val="22"/>
                <w:lang w:eastAsia="ru-RU"/>
              </w:rPr>
              <w:tab/>
            </w:r>
            <w:r>
              <w:rPr>
                <w:rStyle w:val="Style19"/>
              </w:rPr>
              <w:t>Отказ от проведения закупки (отмена закупки)</w:t>
            </w:r>
            <w:r>
              <w:rPr>
                <w:webHidden/>
              </w:rPr>
              <w:fldChar w:fldCharType="begin"/>
            </w:r>
            <w:r>
              <w:rPr>
                <w:webHidden/>
              </w:rPr>
              <w:instrText xml:space="preserve">PAGEREF _Toc220500999 \h</w:instrText>
            </w:r>
            <w:r>
              <w:rPr>
                <w:webHidden/>
              </w:rPr>
              <w:fldChar w:fldCharType="separate"/>
            </w:r>
            <w:r>
              <w:rPr>
                <w:rStyle w:val="Style19"/>
                <w:vanish w:val="false"/>
              </w:rPr>
              <w:tab/>
              <w:t>40</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1000">
            <w:r>
              <w:rPr>
                <w:webHidden/>
                <w:rStyle w:val="Style19"/>
                <w:vanish w:val="false"/>
              </w:rPr>
              <w:t>4.17</w:t>
            </w:r>
            <w:r>
              <w:rPr>
                <w:rStyle w:val="Style19"/>
                <w:rFonts w:eastAsia="" w:ascii="Calibri" w:hAnsi="Calibri" w:asciiTheme="minorHAnsi" w:eastAsiaTheme="minorEastAsia" w:hAnsiTheme="minorHAnsi"/>
                <w:sz w:val="22"/>
                <w:lang w:eastAsia="ru-RU"/>
              </w:rPr>
              <w:tab/>
            </w:r>
            <w:r>
              <w:rPr>
                <w:rStyle w:val="Style19"/>
              </w:rPr>
              <w:t>Особенности проведения закупки с необходимостью обеспечения заявки</w:t>
            </w:r>
            <w:r>
              <w:rPr>
                <w:webHidden/>
              </w:rPr>
              <w:fldChar w:fldCharType="begin"/>
            </w:r>
            <w:r>
              <w:rPr>
                <w:webHidden/>
              </w:rPr>
              <w:instrText xml:space="preserve">PAGEREF _Toc220501000 \h</w:instrText>
            </w:r>
            <w:r>
              <w:rPr>
                <w:webHidden/>
              </w:rPr>
              <w:fldChar w:fldCharType="separate"/>
            </w:r>
            <w:r>
              <w:rPr>
                <w:rStyle w:val="Style19"/>
                <w:vanish w:val="false"/>
              </w:rPr>
              <w:tab/>
              <w:t>41</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1001">
            <w:r>
              <w:rPr>
                <w:webHidden/>
                <w:rStyle w:val="Style19"/>
                <w:vanish w:val="false"/>
              </w:rPr>
              <w:t>4.18</w:t>
            </w:r>
            <w:r>
              <w:rPr>
                <w:rStyle w:val="Style19"/>
                <w:rFonts w:eastAsia="" w:ascii="Calibri" w:hAnsi="Calibri" w:asciiTheme="minorHAnsi" w:eastAsiaTheme="minorEastAsia" w:hAnsiTheme="minorHAnsi"/>
                <w:sz w:val="22"/>
                <w:lang w:eastAsia="ru-RU"/>
              </w:rPr>
              <w:tab/>
            </w:r>
            <w:r>
              <w:rPr>
                <w:rStyle w:val="Style19"/>
              </w:rPr>
              <w:t>Особенности проведения многолотовой закупки</w:t>
            </w:r>
            <w:r>
              <w:rPr>
                <w:webHidden/>
              </w:rPr>
              <w:fldChar w:fldCharType="begin"/>
            </w:r>
            <w:r>
              <w:rPr>
                <w:webHidden/>
              </w:rPr>
              <w:instrText xml:space="preserve">PAGEREF _Toc220501001 \h</w:instrText>
            </w:r>
            <w:r>
              <w:rPr>
                <w:webHidden/>
              </w:rPr>
              <w:fldChar w:fldCharType="separate"/>
            </w:r>
            <w:r>
              <w:rPr>
                <w:rStyle w:val="Style19"/>
                <w:vanish w:val="false"/>
              </w:rPr>
              <w:tab/>
              <w:t>44</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1002">
            <w:r>
              <w:rPr>
                <w:webHidden/>
                <w:rStyle w:val="Style19"/>
                <w:vanish w:val="false"/>
              </w:rPr>
              <w:t>4.19</w:t>
            </w:r>
            <w:r>
              <w:rPr>
                <w:rStyle w:val="Style19"/>
                <w:rFonts w:eastAsia="" w:ascii="Calibri" w:hAnsi="Calibri" w:asciiTheme="minorHAnsi" w:eastAsiaTheme="minorEastAsia" w:hAnsiTheme="minorHAnsi"/>
                <w:sz w:val="22"/>
                <w:lang w:eastAsia="ru-RU"/>
              </w:rPr>
              <w:tab/>
            </w:r>
            <w:r>
              <w:rPr>
                <w:rStyle w:val="Style19"/>
              </w:rPr>
              <w:t>Особенности проведения закупки с возможностью подачи альтернативных предложений</w:t>
            </w:r>
            <w:r>
              <w:rPr>
                <w:webHidden/>
              </w:rPr>
              <w:fldChar w:fldCharType="begin"/>
            </w:r>
            <w:r>
              <w:rPr>
                <w:webHidden/>
              </w:rPr>
              <w:instrText xml:space="preserve">PAGEREF _Toc220501002 \h</w:instrText>
            </w:r>
            <w:r>
              <w:rPr>
                <w:webHidden/>
              </w:rPr>
              <w:fldChar w:fldCharType="separate"/>
            </w:r>
            <w:r>
              <w:rPr>
                <w:rStyle w:val="Style19"/>
                <w:vanish w:val="false"/>
              </w:rPr>
              <w:tab/>
              <w:t>44</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1003">
            <w:r>
              <w:rPr>
                <w:webHidden/>
                <w:rStyle w:val="Style19"/>
                <w:vanish w:val="false"/>
              </w:rPr>
              <w:t>4.20</w:t>
            </w:r>
            <w:r>
              <w:rPr>
                <w:rStyle w:val="Style19"/>
                <w:rFonts w:eastAsia="" w:ascii="Calibri" w:hAnsi="Calibri" w:asciiTheme="minorHAnsi" w:eastAsiaTheme="minorEastAsia" w:hAnsiTheme="minorHAnsi"/>
                <w:sz w:val="22"/>
                <w:lang w:eastAsia="ru-RU"/>
              </w:rPr>
              <w:tab/>
            </w:r>
            <w:r>
              <w:rPr>
                <w:rStyle w:val="Style19"/>
              </w:rPr>
              <w:t>Особенности проведения закупки с выбором нескольких победителей</w:t>
            </w:r>
            <w:r>
              <w:rPr>
                <w:webHidden/>
              </w:rPr>
              <w:fldChar w:fldCharType="begin"/>
            </w:r>
            <w:r>
              <w:rPr>
                <w:webHidden/>
              </w:rPr>
              <w:instrText xml:space="preserve">PAGEREF _Toc220501003 \h</w:instrText>
            </w:r>
            <w:r>
              <w:rPr>
                <w:webHidden/>
              </w:rPr>
              <w:fldChar w:fldCharType="separate"/>
            </w:r>
            <w:r>
              <w:rPr>
                <w:rStyle w:val="Style19"/>
                <w:vanish w:val="false"/>
              </w:rPr>
              <w:tab/>
              <w:t>45</w:t>
            </w:r>
            <w:r>
              <w:rPr>
                <w:webHidden/>
              </w:rPr>
              <w:fldChar w:fldCharType="end"/>
            </w:r>
          </w:hyperlink>
        </w:p>
        <w:p>
          <w:pPr>
            <w:pStyle w:val="TOC1"/>
            <w:rPr>
              <w:rFonts w:ascii="Calibri" w:hAnsi="Calibri" w:eastAsia="" w:asciiTheme="minorHAnsi" w:eastAsiaTheme="minorEastAsia" w:hAnsiTheme="minorHAnsi"/>
              <w:b w:val="false"/>
              <w:caps w:val="false"/>
              <w:smallCaps w:val="false"/>
              <w:sz w:val="22"/>
              <w:lang w:eastAsia="ru-RU"/>
            </w:rPr>
          </w:pPr>
          <w:hyperlink w:anchor="_Toc220501004">
            <w:r>
              <w:rPr>
                <w:webHidden/>
                <w:rStyle w:val="Style19"/>
                <w:vanish w:val="false"/>
              </w:rPr>
              <w:t>5.</w:t>
            </w:r>
            <w:r>
              <w:rPr>
                <w:rStyle w:val="Style19"/>
                <w:rFonts w:eastAsia="" w:ascii="Calibri" w:hAnsi="Calibri" w:asciiTheme="minorHAnsi" w:eastAsiaTheme="minorEastAsia" w:hAnsiTheme="minorHAnsi"/>
                <w:b w:val="false"/>
                <w:caps w:val="false"/>
                <w:smallCaps w:val="false"/>
                <w:sz w:val="22"/>
                <w:lang w:eastAsia="ru-RU"/>
              </w:rPr>
              <w:tab/>
            </w:r>
            <w:r>
              <w:rPr>
                <w:rStyle w:val="Style19"/>
              </w:rPr>
              <w:t>Порядок заключения Договора</w:t>
            </w:r>
            <w:r>
              <w:rPr>
                <w:webHidden/>
              </w:rPr>
              <w:fldChar w:fldCharType="begin"/>
            </w:r>
            <w:r>
              <w:rPr>
                <w:webHidden/>
              </w:rPr>
              <w:instrText xml:space="preserve">PAGEREF _Toc220501004 \h</w:instrText>
            </w:r>
            <w:r>
              <w:rPr>
                <w:webHidden/>
              </w:rPr>
              <w:fldChar w:fldCharType="separate"/>
            </w:r>
            <w:r>
              <w:rPr>
                <w:rStyle w:val="Style19"/>
                <w:vanish w:val="false"/>
              </w:rPr>
              <w:tab/>
              <w:t>47</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1005">
            <w:r>
              <w:rPr>
                <w:webHidden/>
                <w:rStyle w:val="Style19"/>
                <w:vanish w:val="false"/>
              </w:rPr>
              <w:t>5.1</w:t>
            </w:r>
            <w:r>
              <w:rPr>
                <w:rStyle w:val="Style19"/>
                <w:rFonts w:eastAsia="" w:ascii="Calibri" w:hAnsi="Calibri" w:asciiTheme="minorHAnsi" w:eastAsiaTheme="minorEastAsia" w:hAnsiTheme="minorHAnsi"/>
                <w:sz w:val="22"/>
                <w:lang w:eastAsia="ru-RU"/>
              </w:rPr>
              <w:tab/>
            </w:r>
            <w:r>
              <w:rPr>
                <w:rStyle w:val="Style19"/>
              </w:rPr>
              <w:t>Общие положения</w:t>
            </w:r>
            <w:r>
              <w:rPr>
                <w:webHidden/>
              </w:rPr>
              <w:fldChar w:fldCharType="begin"/>
            </w:r>
            <w:r>
              <w:rPr>
                <w:webHidden/>
              </w:rPr>
              <w:instrText xml:space="preserve">PAGEREF _Toc220501005 \h</w:instrText>
            </w:r>
            <w:r>
              <w:rPr>
                <w:webHidden/>
              </w:rPr>
              <w:fldChar w:fldCharType="separate"/>
            </w:r>
            <w:r>
              <w:rPr>
                <w:rStyle w:val="Style19"/>
                <w:vanish w:val="false"/>
              </w:rPr>
              <w:tab/>
              <w:t>47</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1006">
            <w:r>
              <w:rPr>
                <w:webHidden/>
                <w:rStyle w:val="Style19"/>
                <w:vanish w:val="false"/>
              </w:rPr>
              <w:t>5.2</w:t>
            </w:r>
            <w:r>
              <w:rPr>
                <w:rStyle w:val="Style19"/>
                <w:rFonts w:eastAsia="" w:ascii="Calibri" w:hAnsi="Calibri" w:asciiTheme="minorHAnsi" w:eastAsiaTheme="minorEastAsia" w:hAnsiTheme="minorHAnsi"/>
                <w:sz w:val="22"/>
                <w:lang w:eastAsia="ru-RU"/>
              </w:rPr>
              <w:tab/>
            </w:r>
            <w:r>
              <w:rPr>
                <w:rStyle w:val="Style19"/>
              </w:rPr>
              <w:t>Заключение Договора</w:t>
            </w:r>
            <w:r>
              <w:rPr>
                <w:webHidden/>
              </w:rPr>
              <w:fldChar w:fldCharType="begin"/>
            </w:r>
            <w:r>
              <w:rPr>
                <w:webHidden/>
              </w:rPr>
              <w:instrText xml:space="preserve">PAGEREF _Toc220501006 \h</w:instrText>
            </w:r>
            <w:r>
              <w:rPr>
                <w:webHidden/>
              </w:rPr>
              <w:fldChar w:fldCharType="separate"/>
            </w:r>
            <w:r>
              <w:rPr>
                <w:rStyle w:val="Style19"/>
                <w:vanish w:val="false"/>
              </w:rPr>
              <w:tab/>
              <w:t>47</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1007">
            <w:r>
              <w:rPr>
                <w:webHidden/>
                <w:rStyle w:val="Style19"/>
                <w:vanish w:val="false"/>
              </w:rPr>
              <w:t>5.3</w:t>
            </w:r>
            <w:r>
              <w:rPr>
                <w:rStyle w:val="Style19"/>
                <w:rFonts w:eastAsia="" w:ascii="Calibri" w:hAnsi="Calibri" w:asciiTheme="minorHAnsi" w:eastAsiaTheme="minorEastAsia" w:hAnsiTheme="minorHAnsi"/>
                <w:sz w:val="22"/>
                <w:lang w:eastAsia="ru-RU"/>
              </w:rPr>
              <w:tab/>
            </w:r>
            <w:r>
              <w:rPr>
                <w:rStyle w:val="Style19"/>
              </w:rPr>
              <w:t>Преддоговорные переговоры</w:t>
            </w:r>
            <w:r>
              <w:rPr>
                <w:webHidden/>
              </w:rPr>
              <w:fldChar w:fldCharType="begin"/>
            </w:r>
            <w:r>
              <w:rPr>
                <w:webHidden/>
              </w:rPr>
              <w:instrText xml:space="preserve">PAGEREF _Toc220501007 \h</w:instrText>
            </w:r>
            <w:r>
              <w:rPr>
                <w:webHidden/>
              </w:rPr>
              <w:fldChar w:fldCharType="separate"/>
            </w:r>
            <w:r>
              <w:rPr>
                <w:rStyle w:val="Style19"/>
                <w:vanish w:val="false"/>
              </w:rPr>
              <w:tab/>
              <w:t>49</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1008">
            <w:r>
              <w:rPr>
                <w:webHidden/>
                <w:rStyle w:val="Style19"/>
                <w:vanish w:val="false"/>
              </w:rPr>
              <w:t>5.4</w:t>
            </w:r>
            <w:r>
              <w:rPr>
                <w:rStyle w:val="Style19"/>
                <w:rFonts w:eastAsia="" w:ascii="Calibri" w:hAnsi="Calibri" w:asciiTheme="minorHAnsi" w:eastAsiaTheme="minorEastAsia" w:hAnsiTheme="minorHAnsi"/>
                <w:sz w:val="22"/>
                <w:lang w:eastAsia="ru-RU"/>
              </w:rPr>
              <w:tab/>
            </w:r>
            <w:r>
              <w:rPr>
                <w:rStyle w:val="Style19"/>
              </w:rPr>
              <w:t>Уклонение Победителя от заключения Договора</w:t>
            </w:r>
            <w:r>
              <w:rPr>
                <w:webHidden/>
              </w:rPr>
              <w:fldChar w:fldCharType="begin"/>
            </w:r>
            <w:r>
              <w:rPr>
                <w:webHidden/>
              </w:rPr>
              <w:instrText xml:space="preserve">PAGEREF _Toc220501008 \h</w:instrText>
            </w:r>
            <w:r>
              <w:rPr>
                <w:webHidden/>
              </w:rPr>
              <w:fldChar w:fldCharType="separate"/>
            </w:r>
            <w:r>
              <w:rPr>
                <w:rStyle w:val="Style19"/>
                <w:vanish w:val="false"/>
              </w:rPr>
              <w:tab/>
              <w:t>50</w:t>
            </w:r>
            <w:r>
              <w:rPr>
                <w:webHidden/>
              </w:rPr>
              <w:fldChar w:fldCharType="end"/>
            </w:r>
          </w:hyperlink>
        </w:p>
        <w:p>
          <w:pPr>
            <w:pStyle w:val="TOC1"/>
            <w:rPr>
              <w:rFonts w:ascii="Calibri" w:hAnsi="Calibri" w:eastAsia="" w:asciiTheme="minorHAnsi" w:eastAsiaTheme="minorEastAsia" w:hAnsiTheme="minorHAnsi"/>
              <w:b w:val="false"/>
              <w:caps w:val="false"/>
              <w:smallCaps w:val="false"/>
              <w:sz w:val="22"/>
              <w:lang w:eastAsia="ru-RU"/>
            </w:rPr>
          </w:pPr>
          <w:hyperlink w:anchor="_Toc220501009">
            <w:r>
              <w:rPr>
                <w:webHidden/>
                <w:rStyle w:val="Style19"/>
                <w:vanish w:val="false"/>
              </w:rPr>
              <w:t>6.</w:t>
            </w:r>
            <w:r>
              <w:rPr>
                <w:rStyle w:val="Style19"/>
                <w:rFonts w:eastAsia="" w:ascii="Calibri" w:hAnsi="Calibri" w:asciiTheme="minorHAnsi" w:eastAsiaTheme="minorEastAsia" w:hAnsiTheme="minorHAnsi"/>
                <w:b w:val="false"/>
                <w:caps w:val="false"/>
                <w:smallCaps w:val="false"/>
                <w:sz w:val="22"/>
                <w:lang w:eastAsia="ru-RU"/>
              </w:rPr>
              <w:tab/>
            </w:r>
            <w:r>
              <w:rPr>
                <w:rStyle w:val="Style19"/>
              </w:rPr>
              <w:t>Приложение № 1 – Технические требования</w:t>
            </w:r>
            <w:r>
              <w:rPr>
                <w:webHidden/>
              </w:rPr>
              <w:fldChar w:fldCharType="begin"/>
            </w:r>
            <w:r>
              <w:rPr>
                <w:webHidden/>
              </w:rPr>
              <w:instrText xml:space="preserve">PAGEREF _Toc220501009 \h</w:instrText>
            </w:r>
            <w:r>
              <w:rPr>
                <w:webHidden/>
              </w:rPr>
              <w:fldChar w:fldCharType="separate"/>
            </w:r>
            <w:r>
              <w:rPr>
                <w:rStyle w:val="Style19"/>
                <w:vanish w:val="false"/>
              </w:rPr>
              <w:tab/>
              <w:t>52</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1010">
            <w:r>
              <w:rPr>
                <w:webHidden/>
                <w:rStyle w:val="Style19"/>
                <w:vanish w:val="false"/>
              </w:rPr>
              <w:t>6.1</w:t>
            </w:r>
            <w:r>
              <w:rPr>
                <w:rStyle w:val="Style19"/>
                <w:rFonts w:eastAsia="" w:ascii="Calibri" w:hAnsi="Calibri" w:asciiTheme="minorHAnsi" w:eastAsiaTheme="minorEastAsia" w:hAnsiTheme="minorHAnsi"/>
                <w:sz w:val="22"/>
                <w:lang w:eastAsia="ru-RU"/>
              </w:rPr>
              <w:tab/>
            </w:r>
            <w:r>
              <w:rPr>
                <w:rStyle w:val="Style19"/>
              </w:rPr>
              <w:t>Пояснения к Техническим требованиям</w:t>
            </w:r>
            <w:r>
              <w:rPr>
                <w:webHidden/>
              </w:rPr>
              <w:fldChar w:fldCharType="begin"/>
            </w:r>
            <w:r>
              <w:rPr>
                <w:webHidden/>
              </w:rPr>
              <w:instrText xml:space="preserve">PAGEREF _Toc220501010 \h</w:instrText>
            </w:r>
            <w:r>
              <w:rPr>
                <w:webHidden/>
              </w:rPr>
              <w:fldChar w:fldCharType="separate"/>
            </w:r>
            <w:r>
              <w:rPr>
                <w:rStyle w:val="Style19"/>
                <w:vanish w:val="false"/>
              </w:rPr>
              <w:tab/>
              <w:t>52</w:t>
            </w:r>
            <w:r>
              <w:rPr>
                <w:webHidden/>
              </w:rPr>
              <w:fldChar w:fldCharType="end"/>
            </w:r>
          </w:hyperlink>
        </w:p>
        <w:p>
          <w:pPr>
            <w:pStyle w:val="TOC1"/>
            <w:rPr>
              <w:rFonts w:ascii="Calibri" w:hAnsi="Calibri" w:eastAsia="" w:asciiTheme="minorHAnsi" w:eastAsiaTheme="minorEastAsia" w:hAnsiTheme="minorHAnsi"/>
              <w:b w:val="false"/>
              <w:caps w:val="false"/>
              <w:smallCaps w:val="false"/>
              <w:sz w:val="22"/>
              <w:lang w:eastAsia="ru-RU"/>
            </w:rPr>
          </w:pPr>
          <w:hyperlink w:anchor="_Toc220501011">
            <w:r>
              <w:rPr>
                <w:webHidden/>
                <w:rStyle w:val="Style19"/>
                <w:vanish w:val="false"/>
              </w:rPr>
              <w:t>7.</w:t>
            </w:r>
            <w:r>
              <w:rPr>
                <w:rStyle w:val="Style19"/>
                <w:rFonts w:eastAsia="" w:ascii="Calibri" w:hAnsi="Calibri" w:asciiTheme="minorHAnsi" w:eastAsiaTheme="minorEastAsia" w:hAnsiTheme="minorHAnsi"/>
                <w:b w:val="false"/>
                <w:caps w:val="false"/>
                <w:smallCaps w:val="false"/>
                <w:sz w:val="22"/>
                <w:lang w:eastAsia="ru-RU"/>
              </w:rPr>
              <w:tab/>
            </w:r>
            <w:r>
              <w:rPr>
                <w:rStyle w:val="Style19"/>
              </w:rPr>
              <w:t>Приложение № 2 – Проект договора</w:t>
            </w:r>
            <w:r>
              <w:rPr>
                <w:webHidden/>
              </w:rPr>
              <w:fldChar w:fldCharType="begin"/>
            </w:r>
            <w:r>
              <w:rPr>
                <w:webHidden/>
              </w:rPr>
              <w:instrText xml:space="preserve">PAGEREF _Toc220501011 \h</w:instrText>
            </w:r>
            <w:r>
              <w:rPr>
                <w:webHidden/>
              </w:rPr>
              <w:fldChar w:fldCharType="separate"/>
            </w:r>
            <w:r>
              <w:rPr>
                <w:rStyle w:val="Style19"/>
                <w:vanish w:val="false"/>
              </w:rPr>
              <w:tab/>
              <w:t>53</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1012">
            <w:r>
              <w:rPr>
                <w:webHidden/>
                <w:rStyle w:val="Style19"/>
                <w:vanish w:val="false"/>
              </w:rPr>
              <w:t>7.1</w:t>
            </w:r>
            <w:r>
              <w:rPr>
                <w:rStyle w:val="Style19"/>
                <w:rFonts w:eastAsia="" w:ascii="Calibri" w:hAnsi="Calibri" w:asciiTheme="minorHAnsi" w:eastAsiaTheme="minorEastAsia" w:hAnsiTheme="minorHAnsi"/>
                <w:sz w:val="22"/>
                <w:lang w:eastAsia="ru-RU"/>
              </w:rPr>
              <w:tab/>
            </w:r>
            <w:r>
              <w:rPr>
                <w:rStyle w:val="Style19"/>
              </w:rPr>
              <w:t>Пояснения к Проекту договора</w:t>
            </w:r>
            <w:r>
              <w:rPr>
                <w:webHidden/>
              </w:rPr>
              <w:fldChar w:fldCharType="begin"/>
            </w:r>
            <w:r>
              <w:rPr>
                <w:webHidden/>
              </w:rPr>
              <w:instrText xml:space="preserve">PAGEREF _Toc220501012 \h</w:instrText>
            </w:r>
            <w:r>
              <w:rPr>
                <w:webHidden/>
              </w:rPr>
              <w:fldChar w:fldCharType="separate"/>
            </w:r>
            <w:r>
              <w:rPr>
                <w:rStyle w:val="Style19"/>
                <w:vanish w:val="false"/>
              </w:rPr>
              <w:tab/>
              <w:t>53</w:t>
            </w:r>
            <w:r>
              <w:rPr>
                <w:webHidden/>
              </w:rPr>
              <w:fldChar w:fldCharType="end"/>
            </w:r>
          </w:hyperlink>
        </w:p>
        <w:p>
          <w:pPr>
            <w:pStyle w:val="TOC1"/>
            <w:rPr>
              <w:rFonts w:ascii="Calibri" w:hAnsi="Calibri" w:eastAsia="" w:asciiTheme="minorHAnsi" w:eastAsiaTheme="minorEastAsia" w:hAnsiTheme="minorHAnsi"/>
              <w:b w:val="false"/>
              <w:caps w:val="false"/>
              <w:smallCaps w:val="false"/>
              <w:sz w:val="22"/>
              <w:lang w:eastAsia="ru-RU"/>
            </w:rPr>
          </w:pPr>
          <w:hyperlink w:anchor="_Toc220501013">
            <w:r>
              <w:rPr>
                <w:webHidden/>
                <w:rStyle w:val="Style19"/>
                <w:vanish w:val="false"/>
              </w:rPr>
              <w:t>8.</w:t>
            </w:r>
            <w:r>
              <w:rPr>
                <w:rStyle w:val="Style19"/>
                <w:rFonts w:eastAsia="" w:ascii="Calibri" w:hAnsi="Calibri" w:asciiTheme="minorHAnsi" w:eastAsiaTheme="minorEastAsia" w:hAnsiTheme="minorHAnsi"/>
                <w:b w:val="false"/>
                <w:caps w:val="false"/>
                <w:smallCaps w:val="false"/>
                <w:sz w:val="22"/>
                <w:lang w:eastAsia="ru-RU"/>
              </w:rPr>
              <w:tab/>
            </w:r>
            <w:r>
              <w:rPr>
                <w:rStyle w:val="Style19"/>
              </w:rPr>
              <w:t>Приложение № 3 – Требования к Участникам</w:t>
            </w:r>
            <w:r>
              <w:rPr>
                <w:webHidden/>
              </w:rPr>
              <w:fldChar w:fldCharType="begin"/>
            </w:r>
            <w:r>
              <w:rPr>
                <w:webHidden/>
              </w:rPr>
              <w:instrText xml:space="preserve">PAGEREF _Toc220501013 \h</w:instrText>
            </w:r>
            <w:r>
              <w:rPr>
                <w:webHidden/>
              </w:rPr>
              <w:fldChar w:fldCharType="separate"/>
            </w:r>
            <w:r>
              <w:rPr>
                <w:rStyle w:val="Style19"/>
                <w:vanish w:val="false"/>
              </w:rPr>
              <w:tab/>
              <w:t>54</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1014">
            <w:r>
              <w:rPr>
                <w:webHidden/>
                <w:rStyle w:val="Style19"/>
                <w:vanish w:val="false"/>
              </w:rPr>
              <w:t>8.1</w:t>
            </w:r>
            <w:r>
              <w:rPr>
                <w:rStyle w:val="Style19"/>
                <w:rFonts w:eastAsia="" w:ascii="Calibri" w:hAnsi="Calibri" w:asciiTheme="minorHAnsi" w:eastAsiaTheme="minorEastAsia" w:hAnsiTheme="minorHAnsi"/>
                <w:sz w:val="22"/>
                <w:lang w:eastAsia="ru-RU"/>
              </w:rPr>
              <w:tab/>
            </w:r>
            <w:r>
              <w:rPr>
                <w:rStyle w:val="Style19"/>
              </w:rPr>
              <w:t>Пояснения к требованиям к Участникам</w:t>
            </w:r>
            <w:r>
              <w:rPr>
                <w:webHidden/>
              </w:rPr>
              <w:fldChar w:fldCharType="begin"/>
            </w:r>
            <w:r>
              <w:rPr>
                <w:webHidden/>
              </w:rPr>
              <w:instrText xml:space="preserve">PAGEREF _Toc220501014 \h</w:instrText>
            </w:r>
            <w:r>
              <w:rPr>
                <w:webHidden/>
              </w:rPr>
              <w:fldChar w:fldCharType="separate"/>
            </w:r>
            <w:r>
              <w:rPr>
                <w:rStyle w:val="Style19"/>
                <w:vanish w:val="false"/>
              </w:rPr>
              <w:tab/>
              <w:t>54</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1015">
            <w:r>
              <w:rPr>
                <w:webHidden/>
                <w:rStyle w:val="Style19"/>
                <w:vanish w:val="false"/>
              </w:rPr>
              <w:t>8.2</w:t>
            </w:r>
            <w:r>
              <w:rPr>
                <w:rStyle w:val="Style19"/>
                <w:rFonts w:eastAsia="" w:ascii="Calibri" w:hAnsi="Calibri" w:asciiTheme="minorHAnsi" w:eastAsiaTheme="minorEastAsia" w:hAnsiTheme="minorHAnsi"/>
                <w:sz w:val="22"/>
                <w:lang w:eastAsia="ru-RU"/>
              </w:rPr>
              <w:tab/>
            </w:r>
            <w:r>
              <w:rPr>
                <w:rStyle w:val="Style19"/>
              </w:rPr>
              <w:t>Обязательные требования</w:t>
            </w:r>
            <w:r>
              <w:rPr>
                <w:webHidden/>
              </w:rPr>
              <w:fldChar w:fldCharType="begin"/>
            </w:r>
            <w:r>
              <w:rPr>
                <w:webHidden/>
              </w:rPr>
              <w:instrText xml:space="preserve">PAGEREF _Toc220501015 \h</w:instrText>
            </w:r>
            <w:r>
              <w:rPr>
                <w:webHidden/>
              </w:rPr>
              <w:fldChar w:fldCharType="separate"/>
            </w:r>
            <w:r>
              <w:rPr>
                <w:rStyle w:val="Style19"/>
                <w:vanish w:val="false"/>
              </w:rPr>
              <w:tab/>
              <w:t>54</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1016">
            <w:r>
              <w:rPr>
                <w:webHidden/>
                <w:rStyle w:val="Style19"/>
                <w:vanish w:val="false"/>
              </w:rPr>
              <w:t>8.3</w:t>
            </w:r>
            <w:r>
              <w:rPr>
                <w:rStyle w:val="Style19"/>
                <w:rFonts w:eastAsia="" w:ascii="Calibri" w:hAnsi="Calibri" w:asciiTheme="minorHAnsi" w:eastAsiaTheme="minorEastAsia" w:hAnsiTheme="minorHAnsi"/>
                <w:sz w:val="22"/>
                <w:lang w:eastAsia="ru-RU"/>
              </w:rPr>
              <w:tab/>
            </w:r>
            <w:r>
              <w:rPr>
                <w:rStyle w:val="Style19"/>
              </w:rPr>
              <w:t>Специальные требования</w:t>
            </w:r>
            <w:r>
              <w:rPr>
                <w:webHidden/>
              </w:rPr>
              <w:fldChar w:fldCharType="begin"/>
            </w:r>
            <w:r>
              <w:rPr>
                <w:webHidden/>
              </w:rPr>
              <w:instrText xml:space="preserve">PAGEREF _Toc220501016 \h</w:instrText>
            </w:r>
            <w:r>
              <w:rPr>
                <w:webHidden/>
              </w:rPr>
              <w:fldChar w:fldCharType="separate"/>
            </w:r>
            <w:r>
              <w:rPr>
                <w:rStyle w:val="Style19"/>
                <w:vanish w:val="false"/>
              </w:rPr>
              <w:tab/>
              <w:t>58</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1017">
            <w:r>
              <w:rPr>
                <w:webHidden/>
                <w:rStyle w:val="Style19"/>
                <w:vanish w:val="false"/>
              </w:rPr>
              <w:t>8.4</w:t>
            </w:r>
            <w:r>
              <w:rPr>
                <w:rStyle w:val="Style19"/>
                <w:rFonts w:eastAsia="" w:ascii="Calibri" w:hAnsi="Calibri" w:asciiTheme="minorHAnsi" w:eastAsiaTheme="minorEastAsia" w:hAnsiTheme="minorHAnsi"/>
                <w:sz w:val="22"/>
                <w:lang w:eastAsia="ru-RU"/>
              </w:rPr>
              <w:tab/>
            </w:r>
            <w:r>
              <w:rPr>
                <w:rStyle w:val="Style19"/>
              </w:rPr>
              <w:t>Квалификационные требования</w:t>
            </w:r>
            <w:r>
              <w:rPr>
                <w:webHidden/>
              </w:rPr>
              <w:fldChar w:fldCharType="begin"/>
            </w:r>
            <w:r>
              <w:rPr>
                <w:webHidden/>
              </w:rPr>
              <w:instrText xml:space="preserve">PAGEREF _Toc220501017 \h</w:instrText>
            </w:r>
            <w:r>
              <w:rPr>
                <w:webHidden/>
              </w:rPr>
              <w:fldChar w:fldCharType="separate"/>
            </w:r>
            <w:r>
              <w:rPr>
                <w:rStyle w:val="Style19"/>
                <w:vanish w:val="false"/>
              </w:rPr>
              <w:tab/>
              <w:t>59</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1018">
            <w:r>
              <w:rPr>
                <w:webHidden/>
                <w:rStyle w:val="Style19"/>
                <w:vanish w:val="false"/>
              </w:rPr>
              <w:t>8.5</w:t>
            </w:r>
            <w:r>
              <w:rPr>
                <w:rStyle w:val="Style19"/>
                <w:rFonts w:eastAsia="" w:ascii="Calibri" w:hAnsi="Calibri" w:asciiTheme="minorHAnsi" w:eastAsiaTheme="minorEastAsia" w:hAnsiTheme="minorHAnsi"/>
                <w:sz w:val="22"/>
                <w:lang w:eastAsia="ru-RU"/>
              </w:rPr>
              <w:tab/>
            </w:r>
            <w:r>
              <w:rPr>
                <w:rStyle w:val="Style19"/>
              </w:rPr>
              <w:t>Дополнительные требования к Коллективным участникам</w:t>
            </w:r>
            <w:r>
              <w:rPr>
                <w:webHidden/>
              </w:rPr>
              <w:fldChar w:fldCharType="begin"/>
            </w:r>
            <w:r>
              <w:rPr>
                <w:webHidden/>
              </w:rPr>
              <w:instrText xml:space="preserve">PAGEREF _Toc220501018 \h</w:instrText>
            </w:r>
            <w:r>
              <w:rPr>
                <w:webHidden/>
              </w:rPr>
              <w:fldChar w:fldCharType="separate"/>
            </w:r>
            <w:r>
              <w:rPr>
                <w:rStyle w:val="Style19"/>
                <w:vanish w:val="false"/>
              </w:rPr>
              <w:tab/>
              <w:t>62</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1019">
            <w:r>
              <w:rPr>
                <w:webHidden/>
                <w:rStyle w:val="Style19"/>
                <w:vanish w:val="false"/>
              </w:rPr>
              <w:t>8.6</w:t>
            </w:r>
            <w:r>
              <w:rPr>
                <w:rStyle w:val="Style19"/>
                <w:rFonts w:eastAsia="" w:ascii="Calibri" w:hAnsi="Calibri" w:asciiTheme="minorHAnsi" w:eastAsiaTheme="minorEastAsia" w:hAnsiTheme="minorHAnsi"/>
                <w:sz w:val="22"/>
                <w:lang w:eastAsia="ru-RU"/>
              </w:rPr>
              <w:tab/>
            </w:r>
            <w:r>
              <w:rPr>
                <w:rStyle w:val="Style19"/>
              </w:rPr>
              <w:t>Дополнительные требования к Генеральным подрядчикам</w:t>
            </w:r>
            <w:r>
              <w:rPr>
                <w:webHidden/>
              </w:rPr>
              <w:fldChar w:fldCharType="begin"/>
            </w:r>
            <w:r>
              <w:rPr>
                <w:webHidden/>
              </w:rPr>
              <w:instrText xml:space="preserve">PAGEREF _Toc220501019 \h</w:instrText>
            </w:r>
            <w:r>
              <w:rPr>
                <w:webHidden/>
              </w:rPr>
              <w:fldChar w:fldCharType="separate"/>
            </w:r>
            <w:r>
              <w:rPr>
                <w:rStyle w:val="Style19"/>
                <w:vanish w:val="false"/>
              </w:rPr>
              <w:tab/>
              <w:t>62</w:t>
            </w:r>
            <w:r>
              <w:rPr>
                <w:webHidden/>
              </w:rPr>
              <w:fldChar w:fldCharType="end"/>
            </w:r>
          </w:hyperlink>
        </w:p>
        <w:p>
          <w:pPr>
            <w:pStyle w:val="TOC1"/>
            <w:rPr>
              <w:rFonts w:ascii="Calibri" w:hAnsi="Calibri" w:eastAsia="" w:asciiTheme="minorHAnsi" w:eastAsiaTheme="minorEastAsia" w:hAnsiTheme="minorHAnsi"/>
              <w:b w:val="false"/>
              <w:caps w:val="false"/>
              <w:smallCaps w:val="false"/>
              <w:sz w:val="22"/>
              <w:lang w:eastAsia="ru-RU"/>
            </w:rPr>
          </w:pPr>
          <w:hyperlink w:anchor="_Toc220501020">
            <w:r>
              <w:rPr>
                <w:webHidden/>
                <w:rStyle w:val="Style19"/>
                <w:vanish w:val="false"/>
              </w:rPr>
              <w:t>9.</w:t>
            </w:r>
            <w:r>
              <w:rPr>
                <w:rStyle w:val="Style19"/>
                <w:rFonts w:eastAsia="" w:ascii="Calibri" w:hAnsi="Calibri" w:asciiTheme="minorHAnsi" w:eastAsiaTheme="minorEastAsia" w:hAnsiTheme="minorHAnsi"/>
                <w:b w:val="false"/>
                <w:caps w:val="false"/>
                <w:smallCaps w:val="false"/>
                <w:sz w:val="22"/>
                <w:lang w:eastAsia="ru-RU"/>
              </w:rPr>
              <w:tab/>
            </w:r>
            <w:r>
              <w:rPr>
                <w:rStyle w:val="Style19"/>
              </w:rPr>
              <w:t>Приложение № 4 – Образцы форм документов, включаемых в состав заявки</w:t>
            </w:r>
            <w:r>
              <w:rPr>
                <w:webHidden/>
              </w:rPr>
              <w:fldChar w:fldCharType="begin"/>
            </w:r>
            <w:r>
              <w:rPr>
                <w:webHidden/>
              </w:rPr>
              <w:instrText xml:space="preserve">PAGEREF _Toc220501020 \h</w:instrText>
            </w:r>
            <w:r>
              <w:rPr>
                <w:webHidden/>
              </w:rPr>
              <w:fldChar w:fldCharType="separate"/>
            </w:r>
            <w:r>
              <w:rPr>
                <w:rStyle w:val="Style19"/>
                <w:vanish w:val="false"/>
              </w:rPr>
              <w:tab/>
              <w:t>64</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1021">
            <w:r>
              <w:rPr>
                <w:webHidden/>
                <w:rStyle w:val="Style19"/>
                <w:vanish w:val="false"/>
              </w:rPr>
              <w:t>9.1</w:t>
            </w:r>
            <w:r>
              <w:rPr>
                <w:rStyle w:val="Style19"/>
                <w:rFonts w:eastAsia="" w:ascii="Calibri" w:hAnsi="Calibri" w:asciiTheme="minorHAnsi" w:eastAsiaTheme="minorEastAsia" w:hAnsiTheme="minorHAnsi"/>
                <w:sz w:val="22"/>
                <w:lang w:eastAsia="ru-RU"/>
              </w:rPr>
              <w:tab/>
            </w:r>
            <w:r>
              <w:rPr>
                <w:rStyle w:val="Style19"/>
              </w:rPr>
              <w:t>Пояснения к Образцам форм документов, включаемых в состав заявки</w:t>
            </w:r>
            <w:r>
              <w:rPr>
                <w:webHidden/>
              </w:rPr>
              <w:fldChar w:fldCharType="begin"/>
            </w:r>
            <w:r>
              <w:rPr>
                <w:webHidden/>
              </w:rPr>
              <w:instrText xml:space="preserve">PAGEREF _Toc220501021 \h</w:instrText>
            </w:r>
            <w:r>
              <w:rPr>
                <w:webHidden/>
              </w:rPr>
              <w:fldChar w:fldCharType="separate"/>
            </w:r>
            <w:r>
              <w:rPr>
                <w:rStyle w:val="Style19"/>
                <w:vanish w:val="false"/>
              </w:rPr>
              <w:tab/>
              <w:t>64</w:t>
            </w:r>
            <w:r>
              <w:rPr>
                <w:webHidden/>
              </w:rPr>
              <w:fldChar w:fldCharType="end"/>
            </w:r>
          </w:hyperlink>
        </w:p>
        <w:p>
          <w:pPr>
            <w:pStyle w:val="TOC1"/>
            <w:rPr>
              <w:rFonts w:ascii="Calibri" w:hAnsi="Calibri" w:eastAsia="" w:asciiTheme="minorHAnsi" w:eastAsiaTheme="minorEastAsia" w:hAnsiTheme="minorHAnsi"/>
              <w:b w:val="false"/>
              <w:caps w:val="false"/>
              <w:smallCaps w:val="false"/>
              <w:sz w:val="22"/>
              <w:lang w:eastAsia="ru-RU"/>
            </w:rPr>
          </w:pPr>
          <w:hyperlink w:anchor="_Toc220501022">
            <w:r>
              <w:rPr>
                <w:webHidden/>
                <w:rStyle w:val="Style19"/>
                <w:vanish w:val="false"/>
              </w:rPr>
              <w:t>10.</w:t>
            </w:r>
            <w:r>
              <w:rPr>
                <w:rStyle w:val="Style19"/>
                <w:rFonts w:eastAsia="" w:ascii="Calibri" w:hAnsi="Calibri" w:asciiTheme="minorHAnsi" w:eastAsiaTheme="minorEastAsia" w:hAnsiTheme="minorHAnsi"/>
                <w:b w:val="false"/>
                <w:caps w:val="false"/>
                <w:smallCaps w:val="false"/>
                <w:sz w:val="22"/>
                <w:lang w:eastAsia="ru-RU"/>
              </w:rPr>
              <w:tab/>
            </w:r>
            <w:r>
              <w:rPr>
                <w:rStyle w:val="Style19"/>
              </w:rPr>
              <w:t>Приложение № 5 – Образцы форм документов, предоставляемых Победителем</w:t>
            </w:r>
            <w:r>
              <w:rPr>
                <w:webHidden/>
              </w:rPr>
              <w:fldChar w:fldCharType="begin"/>
            </w:r>
            <w:r>
              <w:rPr>
                <w:webHidden/>
              </w:rPr>
              <w:instrText xml:space="preserve">PAGEREF _Toc220501022 \h</w:instrText>
            </w:r>
            <w:r>
              <w:rPr>
                <w:webHidden/>
              </w:rPr>
              <w:fldChar w:fldCharType="separate"/>
            </w:r>
            <w:r>
              <w:rPr>
                <w:rStyle w:val="Style19"/>
                <w:vanish w:val="false"/>
              </w:rPr>
              <w:tab/>
              <w:t>65</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1023">
            <w:r>
              <w:rPr>
                <w:webHidden/>
                <w:rStyle w:val="Style19"/>
                <w:vanish w:val="false"/>
              </w:rPr>
              <w:t>10.1</w:t>
            </w:r>
            <w:r>
              <w:rPr>
                <w:rStyle w:val="Style19"/>
                <w:rFonts w:eastAsia="" w:ascii="Calibri" w:hAnsi="Calibri" w:asciiTheme="minorHAnsi" w:eastAsiaTheme="minorEastAsia" w:hAnsiTheme="minorHAnsi"/>
                <w:sz w:val="22"/>
                <w:lang w:eastAsia="ru-RU"/>
              </w:rPr>
              <w:tab/>
            </w:r>
            <w:r>
              <w:rPr>
                <w:rStyle w:val="Style19"/>
              </w:rPr>
              <w:t>Пояснения к Образцам форм документов, предоставляемых Победителем</w:t>
            </w:r>
            <w:r>
              <w:rPr>
                <w:webHidden/>
              </w:rPr>
              <w:fldChar w:fldCharType="begin"/>
            </w:r>
            <w:r>
              <w:rPr>
                <w:webHidden/>
              </w:rPr>
              <w:instrText xml:space="preserve">PAGEREF _Toc220501023 \h</w:instrText>
            </w:r>
            <w:r>
              <w:rPr>
                <w:webHidden/>
              </w:rPr>
              <w:fldChar w:fldCharType="separate"/>
            </w:r>
            <w:r>
              <w:rPr>
                <w:rStyle w:val="Style19"/>
                <w:vanish w:val="false"/>
              </w:rPr>
              <w:tab/>
              <w:t>65</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1024">
            <w:r>
              <w:rPr>
                <w:webHidden/>
                <w:rStyle w:val="Style19"/>
                <w:vanish w:val="false"/>
              </w:rPr>
              <w:t>10.2</w:t>
            </w:r>
            <w:r>
              <w:rPr>
                <w:rStyle w:val="Style19"/>
                <w:rFonts w:eastAsia="" w:ascii="Calibri" w:hAnsi="Calibri" w:asciiTheme="minorHAnsi" w:eastAsiaTheme="minorEastAsia" w:hAnsiTheme="minorHAnsi"/>
                <w:sz w:val="22"/>
                <w:lang w:eastAsia="ru-RU"/>
              </w:rPr>
              <w:tab/>
            </w:r>
            <w:r>
              <w:rPr>
                <w:rStyle w:val="Style19"/>
              </w:rPr>
              <w:t>Форма справки «Сведения о цепочке собственников, включая бенефициаров (в том числе конечных)»</w:t>
            </w:r>
            <w:r>
              <w:rPr>
                <w:webHidden/>
              </w:rPr>
              <w:fldChar w:fldCharType="begin"/>
            </w:r>
            <w:r>
              <w:rPr>
                <w:webHidden/>
              </w:rPr>
              <w:instrText xml:space="preserve">PAGEREF _Toc220501024 \h</w:instrText>
            </w:r>
            <w:r>
              <w:rPr>
                <w:webHidden/>
              </w:rPr>
              <w:fldChar w:fldCharType="separate"/>
            </w:r>
            <w:r>
              <w:rPr>
                <w:rStyle w:val="Style19"/>
                <w:vanish w:val="false"/>
              </w:rPr>
              <w:tab/>
              <w:t>65</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1025">
            <w:r>
              <w:rPr>
                <w:webHidden/>
                <w:rStyle w:val="Style19"/>
                <w:vanish w:val="false"/>
              </w:rPr>
              <w:t>10.3</w:t>
            </w:r>
            <w:r>
              <w:rPr>
                <w:rStyle w:val="Style19"/>
                <w:rFonts w:eastAsia="" w:ascii="Calibri" w:hAnsi="Calibri" w:asciiTheme="minorHAnsi" w:eastAsiaTheme="minorEastAsia" w:hAnsiTheme="minorHAnsi"/>
                <w:sz w:val="22"/>
                <w:lang w:eastAsia="ru-RU"/>
              </w:rPr>
              <w:tab/>
            </w:r>
            <w:r>
              <w:rPr>
                <w:rStyle w:val="Style19"/>
              </w:rPr>
              <w:t>Форма «Заверение об обстоятельствах»</w:t>
            </w:r>
            <w:r>
              <w:rPr>
                <w:webHidden/>
              </w:rPr>
              <w:fldChar w:fldCharType="begin"/>
            </w:r>
            <w:r>
              <w:rPr>
                <w:webHidden/>
              </w:rPr>
              <w:instrText xml:space="preserve">PAGEREF _Toc220501025 \h</w:instrText>
            </w:r>
            <w:r>
              <w:rPr>
                <w:webHidden/>
              </w:rPr>
              <w:fldChar w:fldCharType="separate"/>
            </w:r>
            <w:r>
              <w:rPr>
                <w:rStyle w:val="Style19"/>
                <w:vanish w:val="false"/>
              </w:rPr>
              <w:tab/>
              <w:t>65</w:t>
            </w:r>
            <w:r>
              <w:rPr>
                <w:webHidden/>
              </w:rPr>
              <w:fldChar w:fldCharType="end"/>
            </w:r>
          </w:hyperlink>
        </w:p>
        <w:p>
          <w:pPr>
            <w:pStyle w:val="TOC1"/>
            <w:rPr>
              <w:rFonts w:ascii="Calibri" w:hAnsi="Calibri" w:eastAsia="" w:asciiTheme="minorHAnsi" w:eastAsiaTheme="minorEastAsia" w:hAnsiTheme="minorHAnsi"/>
              <w:b w:val="false"/>
              <w:caps w:val="false"/>
              <w:smallCaps w:val="false"/>
              <w:sz w:val="22"/>
              <w:lang w:eastAsia="ru-RU"/>
            </w:rPr>
          </w:pPr>
          <w:hyperlink w:anchor="_Toc220501026">
            <w:r>
              <w:rPr>
                <w:webHidden/>
                <w:rStyle w:val="Style19"/>
                <w:vanish w:val="false"/>
              </w:rPr>
              <w:t>11.</w:t>
            </w:r>
            <w:r>
              <w:rPr>
                <w:rStyle w:val="Style19"/>
                <w:rFonts w:eastAsia="" w:ascii="Calibri" w:hAnsi="Calibri" w:asciiTheme="minorHAnsi" w:eastAsiaTheme="minorEastAsia" w:hAnsiTheme="minorHAnsi"/>
                <w:b w:val="false"/>
                <w:caps w:val="false"/>
                <w:smallCaps w:val="false"/>
                <w:sz w:val="22"/>
                <w:lang w:eastAsia="ru-RU"/>
              </w:rPr>
              <w:tab/>
            </w:r>
            <w:r>
              <w:rPr>
                <w:rStyle w:val="Style19"/>
              </w:rPr>
              <w:t>Приложение № 6 – Состав заявки</w:t>
            </w:r>
            <w:r>
              <w:rPr>
                <w:webHidden/>
              </w:rPr>
              <w:fldChar w:fldCharType="begin"/>
            </w:r>
            <w:r>
              <w:rPr>
                <w:webHidden/>
              </w:rPr>
              <w:instrText xml:space="preserve">PAGEREF _Toc220501026 \h</w:instrText>
            </w:r>
            <w:r>
              <w:rPr>
                <w:webHidden/>
              </w:rPr>
              <w:fldChar w:fldCharType="separate"/>
            </w:r>
            <w:r>
              <w:rPr>
                <w:rStyle w:val="Style19"/>
                <w:vanish w:val="false"/>
              </w:rPr>
              <w:tab/>
              <w:t>67</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1027">
            <w:r>
              <w:rPr>
                <w:webHidden/>
                <w:rStyle w:val="Style19"/>
                <w:vanish w:val="false"/>
              </w:rPr>
              <w:t>11.1</w:t>
            </w:r>
            <w:r>
              <w:rPr>
                <w:rStyle w:val="Style19"/>
                <w:rFonts w:eastAsia="" w:ascii="Calibri" w:hAnsi="Calibri" w:asciiTheme="minorHAnsi" w:eastAsiaTheme="minorEastAsia" w:hAnsiTheme="minorHAnsi"/>
                <w:sz w:val="22"/>
                <w:lang w:eastAsia="ru-RU"/>
              </w:rPr>
              <w:tab/>
            </w:r>
            <w:r>
              <w:rPr>
                <w:rStyle w:val="Style19"/>
              </w:rPr>
              <w:t>Состав заявки</w:t>
            </w:r>
            <w:r>
              <w:rPr>
                <w:webHidden/>
              </w:rPr>
              <w:fldChar w:fldCharType="begin"/>
            </w:r>
            <w:r>
              <w:rPr>
                <w:webHidden/>
              </w:rPr>
              <w:instrText xml:space="preserve">PAGEREF _Toc220501027 \h</w:instrText>
            </w:r>
            <w:r>
              <w:rPr>
                <w:webHidden/>
              </w:rPr>
              <w:fldChar w:fldCharType="separate"/>
            </w:r>
            <w:r>
              <w:rPr>
                <w:rStyle w:val="Style19"/>
                <w:vanish w:val="false"/>
              </w:rPr>
              <w:tab/>
              <w:t>67</w:t>
            </w:r>
            <w:r>
              <w:rPr>
                <w:webHidden/>
              </w:rPr>
              <w:fldChar w:fldCharType="end"/>
            </w:r>
          </w:hyperlink>
        </w:p>
        <w:p>
          <w:pPr>
            <w:pStyle w:val="TOC1"/>
            <w:rPr>
              <w:rFonts w:ascii="Calibri" w:hAnsi="Calibri" w:eastAsia="" w:asciiTheme="minorHAnsi" w:eastAsiaTheme="minorEastAsia" w:hAnsiTheme="minorHAnsi"/>
              <w:b w:val="false"/>
              <w:caps w:val="false"/>
              <w:smallCaps w:val="false"/>
              <w:sz w:val="22"/>
              <w:lang w:eastAsia="ru-RU"/>
            </w:rPr>
          </w:pPr>
          <w:hyperlink w:anchor="_Toc220501028">
            <w:r>
              <w:rPr>
                <w:webHidden/>
                <w:rStyle w:val="Style19"/>
                <w:vanish w:val="false"/>
              </w:rPr>
              <w:t>12.</w:t>
            </w:r>
            <w:r>
              <w:rPr>
                <w:rStyle w:val="Style19"/>
                <w:rFonts w:eastAsia="" w:ascii="Calibri" w:hAnsi="Calibri" w:asciiTheme="minorHAnsi" w:eastAsiaTheme="minorEastAsia" w:hAnsiTheme="minorHAnsi"/>
                <w:b w:val="false"/>
                <w:caps w:val="false"/>
                <w:smallCaps w:val="false"/>
                <w:sz w:val="22"/>
                <w:lang w:eastAsia="ru-RU"/>
              </w:rPr>
              <w:tab/>
            </w:r>
            <w:r>
              <w:rPr>
                <w:rStyle w:val="Style19"/>
              </w:rPr>
              <w:t>Приложение № 7 – Отборочные критерии рассмотрения заявок</w:t>
            </w:r>
            <w:r>
              <w:rPr>
                <w:webHidden/>
              </w:rPr>
              <w:fldChar w:fldCharType="begin"/>
            </w:r>
            <w:r>
              <w:rPr>
                <w:webHidden/>
              </w:rPr>
              <w:instrText xml:space="preserve">PAGEREF _Toc220501028 \h</w:instrText>
            </w:r>
            <w:r>
              <w:rPr>
                <w:webHidden/>
              </w:rPr>
              <w:fldChar w:fldCharType="separate"/>
            </w:r>
            <w:r>
              <w:rPr>
                <w:rStyle w:val="Style19"/>
                <w:vanish w:val="false"/>
              </w:rPr>
              <w:tab/>
              <w:t>70</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1029">
            <w:r>
              <w:rPr>
                <w:webHidden/>
                <w:rStyle w:val="Style19"/>
                <w:vanish w:val="false"/>
              </w:rPr>
              <w:t>12.1</w:t>
            </w:r>
            <w:r>
              <w:rPr>
                <w:rStyle w:val="Style19"/>
                <w:rFonts w:eastAsia="" w:ascii="Calibri" w:hAnsi="Calibri" w:asciiTheme="minorHAnsi" w:eastAsiaTheme="minorEastAsia" w:hAnsiTheme="minorHAnsi"/>
                <w:sz w:val="22"/>
                <w:lang w:eastAsia="ru-RU"/>
              </w:rPr>
              <w:tab/>
            </w:r>
            <w:r>
              <w:rPr>
                <w:rStyle w:val="Style19"/>
              </w:rPr>
              <w:t>Отборочные критерии рассмотрения заявок</w:t>
            </w:r>
            <w:r>
              <w:rPr>
                <w:webHidden/>
              </w:rPr>
              <w:fldChar w:fldCharType="begin"/>
            </w:r>
            <w:r>
              <w:rPr>
                <w:webHidden/>
              </w:rPr>
              <w:instrText xml:space="preserve">PAGEREF _Toc220501029 \h</w:instrText>
            </w:r>
            <w:r>
              <w:rPr>
                <w:webHidden/>
              </w:rPr>
              <w:fldChar w:fldCharType="separate"/>
            </w:r>
            <w:r>
              <w:rPr>
                <w:rStyle w:val="Style19"/>
                <w:vanish w:val="false"/>
              </w:rPr>
              <w:tab/>
              <w:t>70</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1030">
            <w:r>
              <w:rPr>
                <w:webHidden/>
                <w:rStyle w:val="Style19"/>
                <w:vanish w:val="false"/>
              </w:rPr>
              <w:t>12.2</w:t>
            </w:r>
            <w:r>
              <w:rPr>
                <w:rStyle w:val="Style19"/>
                <w:rFonts w:eastAsia="" w:ascii="Calibri" w:hAnsi="Calibri" w:asciiTheme="minorHAnsi" w:eastAsiaTheme="minorEastAsia" w:hAnsiTheme="minorHAnsi"/>
                <w:sz w:val="22"/>
                <w:lang w:eastAsia="ru-RU"/>
              </w:rPr>
              <w:tab/>
            </w:r>
            <w:r>
              <w:rPr>
                <w:rStyle w:val="Style19"/>
              </w:rPr>
              <w:t>Дополнительные критерии проверки заявок на соответствие условиям Документации о закупке</w:t>
            </w:r>
            <w:r>
              <w:rPr>
                <w:webHidden/>
              </w:rPr>
              <w:fldChar w:fldCharType="begin"/>
            </w:r>
            <w:r>
              <w:rPr>
                <w:webHidden/>
              </w:rPr>
              <w:instrText xml:space="preserve">PAGEREF _Toc220501030 \h</w:instrText>
            </w:r>
            <w:r>
              <w:rPr>
                <w:webHidden/>
              </w:rPr>
              <w:fldChar w:fldCharType="separate"/>
            </w:r>
            <w:r>
              <w:rPr>
                <w:rStyle w:val="Style19"/>
                <w:vanish w:val="false"/>
              </w:rPr>
              <w:tab/>
              <w:t>74</w:t>
            </w:r>
            <w:r>
              <w:rPr>
                <w:webHidden/>
              </w:rPr>
              <w:fldChar w:fldCharType="end"/>
            </w:r>
          </w:hyperlink>
        </w:p>
        <w:p>
          <w:pPr>
            <w:pStyle w:val="TOC1"/>
            <w:rPr>
              <w:rFonts w:ascii="Calibri" w:hAnsi="Calibri" w:eastAsia="" w:asciiTheme="minorHAnsi" w:eastAsiaTheme="minorEastAsia" w:hAnsiTheme="minorHAnsi"/>
              <w:b w:val="false"/>
              <w:caps w:val="false"/>
              <w:smallCaps w:val="false"/>
              <w:sz w:val="22"/>
              <w:lang w:eastAsia="ru-RU"/>
            </w:rPr>
          </w:pPr>
          <w:hyperlink w:anchor="_Toc220501031">
            <w:r>
              <w:rPr>
                <w:webHidden/>
                <w:rStyle w:val="Style19"/>
                <w:vanish w:val="false"/>
              </w:rPr>
              <w:t>13.</w:t>
            </w:r>
            <w:r>
              <w:rPr>
                <w:rStyle w:val="Style19"/>
                <w:rFonts w:eastAsia="" w:ascii="Calibri" w:hAnsi="Calibri" w:asciiTheme="minorHAnsi" w:eastAsiaTheme="minorEastAsia" w:hAnsiTheme="minorHAnsi"/>
                <w:b w:val="false"/>
                <w:caps w:val="false"/>
                <w:smallCaps w:val="false"/>
                <w:sz w:val="22"/>
                <w:lang w:eastAsia="ru-RU"/>
              </w:rPr>
              <w:tab/>
            </w:r>
            <w:r>
              <w:rPr>
                <w:rStyle w:val="Style19"/>
              </w:rPr>
              <w:t>Приложение № 8 – Порядок и критерии оценки и сопоставления заявок</w:t>
            </w:r>
            <w:r>
              <w:rPr>
                <w:webHidden/>
              </w:rPr>
              <w:fldChar w:fldCharType="begin"/>
            </w:r>
            <w:r>
              <w:rPr>
                <w:webHidden/>
              </w:rPr>
              <w:instrText xml:space="preserve">PAGEREF _Toc220501031 \h</w:instrText>
            </w:r>
            <w:r>
              <w:rPr>
                <w:webHidden/>
              </w:rPr>
              <w:fldChar w:fldCharType="separate"/>
            </w:r>
            <w:r>
              <w:rPr>
                <w:rStyle w:val="Style19"/>
                <w:vanish w:val="false"/>
              </w:rPr>
              <w:tab/>
              <w:t>77</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1032">
            <w:r>
              <w:rPr>
                <w:webHidden/>
                <w:rStyle w:val="Style19"/>
                <w:vanish w:val="false"/>
              </w:rPr>
              <w:t>13.1</w:t>
            </w:r>
            <w:r>
              <w:rPr>
                <w:rStyle w:val="Style19"/>
                <w:rFonts w:eastAsia="" w:ascii="Calibri" w:hAnsi="Calibri" w:asciiTheme="minorHAnsi" w:eastAsiaTheme="minorEastAsia" w:hAnsiTheme="minorHAnsi"/>
                <w:sz w:val="22"/>
                <w:lang w:eastAsia="ru-RU"/>
              </w:rPr>
              <w:tab/>
            </w:r>
            <w:r>
              <w:rPr>
                <w:rStyle w:val="Style19"/>
              </w:rPr>
              <w:t>Порядок и критерии оценки и сопоставления заявок</w:t>
            </w:r>
            <w:r>
              <w:rPr>
                <w:webHidden/>
              </w:rPr>
              <w:fldChar w:fldCharType="begin"/>
            </w:r>
            <w:r>
              <w:rPr>
                <w:webHidden/>
              </w:rPr>
              <w:instrText xml:space="preserve">PAGEREF _Toc220501032 \h</w:instrText>
            </w:r>
            <w:r>
              <w:rPr>
                <w:webHidden/>
              </w:rPr>
              <w:fldChar w:fldCharType="separate"/>
            </w:r>
            <w:r>
              <w:rPr>
                <w:rStyle w:val="Style19"/>
                <w:vanish w:val="false"/>
              </w:rPr>
              <w:tab/>
              <w:t>77</w:t>
            </w:r>
            <w:r>
              <w:rPr>
                <w:webHidden/>
              </w:rPr>
              <w:fldChar w:fldCharType="end"/>
            </w:r>
          </w:hyperlink>
        </w:p>
        <w:p>
          <w:pPr>
            <w:pStyle w:val="TOC1"/>
            <w:rPr>
              <w:rFonts w:ascii="Calibri" w:hAnsi="Calibri" w:eastAsia="" w:asciiTheme="minorHAnsi" w:eastAsiaTheme="minorEastAsia" w:hAnsiTheme="minorHAnsi"/>
              <w:b w:val="false"/>
              <w:caps w:val="false"/>
              <w:smallCaps w:val="false"/>
              <w:sz w:val="22"/>
              <w:lang w:eastAsia="ru-RU"/>
            </w:rPr>
          </w:pPr>
          <w:hyperlink w:anchor="_Toc220501033">
            <w:r>
              <w:rPr>
                <w:webHidden/>
                <w:rStyle w:val="Style19"/>
                <w:vanish w:val="false"/>
              </w:rPr>
              <w:t>14.</w:t>
            </w:r>
            <w:r>
              <w:rPr>
                <w:rStyle w:val="Style19"/>
                <w:rFonts w:eastAsia="" w:ascii="Calibri" w:hAnsi="Calibri" w:asciiTheme="minorHAnsi" w:eastAsiaTheme="minorEastAsia" w:hAnsiTheme="minorHAnsi"/>
                <w:b w:val="false"/>
                <w:caps w:val="false"/>
                <w:smallCaps w:val="false"/>
                <w:sz w:val="22"/>
                <w:lang w:eastAsia="ru-RU"/>
              </w:rPr>
              <w:tab/>
            </w:r>
            <w:r>
              <w:rPr>
                <w:rStyle w:val="Style19"/>
              </w:rPr>
              <w:t>Приложение № 9 – Обоснование НМЦ</w:t>
            </w:r>
            <w:r>
              <w:rPr>
                <w:webHidden/>
              </w:rPr>
              <w:fldChar w:fldCharType="begin"/>
            </w:r>
            <w:r>
              <w:rPr>
                <w:webHidden/>
              </w:rPr>
              <w:instrText xml:space="preserve">PAGEREF _Toc220501033 \h</w:instrText>
            </w:r>
            <w:r>
              <w:rPr>
                <w:webHidden/>
              </w:rPr>
              <w:fldChar w:fldCharType="separate"/>
            </w:r>
            <w:r>
              <w:rPr>
                <w:rStyle w:val="Style19"/>
                <w:vanish w:val="false"/>
              </w:rPr>
              <w:tab/>
              <w:t>82</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1034">
            <w:r>
              <w:rPr>
                <w:webHidden/>
                <w:rStyle w:val="Style19"/>
                <w:vanish w:val="false"/>
              </w:rPr>
              <w:t>14.1</w:t>
            </w:r>
            <w:r>
              <w:rPr>
                <w:rStyle w:val="Style19"/>
                <w:rFonts w:eastAsia="" w:ascii="Calibri" w:hAnsi="Calibri" w:asciiTheme="minorHAnsi" w:eastAsiaTheme="minorEastAsia" w:hAnsiTheme="minorHAnsi"/>
                <w:sz w:val="22"/>
                <w:lang w:eastAsia="ru-RU"/>
              </w:rPr>
              <w:tab/>
            </w:r>
            <w:r>
              <w:rPr>
                <w:rStyle w:val="Style19"/>
              </w:rPr>
              <w:t>Пояснения к Обоснованию НМЦ</w:t>
            </w:r>
            <w:r>
              <w:rPr>
                <w:webHidden/>
              </w:rPr>
              <w:fldChar w:fldCharType="begin"/>
            </w:r>
            <w:r>
              <w:rPr>
                <w:webHidden/>
              </w:rPr>
              <w:instrText xml:space="preserve">PAGEREF _Toc220501034 \h</w:instrText>
            </w:r>
            <w:r>
              <w:rPr>
                <w:webHidden/>
              </w:rPr>
              <w:fldChar w:fldCharType="separate"/>
            </w:r>
            <w:r>
              <w:rPr>
                <w:rStyle w:val="Style19"/>
                <w:vanish w:val="false"/>
              </w:rPr>
              <w:tab/>
              <w:t>82</w:t>
            </w:r>
            <w:r>
              <w:rPr>
                <w:webHidden/>
              </w:rPr>
              <w:fldChar w:fldCharType="end"/>
            </w:r>
          </w:hyperlink>
        </w:p>
        <w:p>
          <w:pPr>
            <w:pStyle w:val="TOC1"/>
            <w:rPr>
              <w:rFonts w:ascii="Calibri" w:hAnsi="Calibri" w:eastAsia="" w:asciiTheme="minorHAnsi" w:eastAsiaTheme="minorEastAsia" w:hAnsiTheme="minorHAnsi"/>
              <w:b w:val="false"/>
              <w:caps w:val="false"/>
              <w:smallCaps w:val="false"/>
              <w:sz w:val="22"/>
              <w:lang w:eastAsia="ru-RU"/>
            </w:rPr>
          </w:pPr>
          <w:hyperlink w:anchor="_Toc220501035">
            <w:r>
              <w:rPr>
                <w:webHidden/>
                <w:rStyle w:val="Style19"/>
                <w:vanish w:val="false"/>
              </w:rPr>
              <w:t>15.</w:t>
            </w:r>
            <w:r>
              <w:rPr>
                <w:rStyle w:val="Style19"/>
                <w:rFonts w:eastAsia="" w:ascii="Calibri" w:hAnsi="Calibri" w:asciiTheme="minorHAnsi" w:eastAsiaTheme="minorEastAsia" w:hAnsiTheme="minorHAnsi"/>
                <w:b w:val="false"/>
                <w:caps w:val="false"/>
                <w:smallCaps w:val="false"/>
                <w:sz w:val="22"/>
                <w:lang w:eastAsia="ru-RU"/>
              </w:rPr>
              <w:tab/>
            </w:r>
            <w:r>
              <w:rPr>
                <w:rStyle w:val="Style19"/>
              </w:rPr>
              <w:t>Приложение № 10 – Форма Заявки на аккредитацию</w:t>
            </w:r>
            <w:r>
              <w:rPr>
                <w:webHidden/>
              </w:rPr>
              <w:fldChar w:fldCharType="begin"/>
            </w:r>
            <w:r>
              <w:rPr>
                <w:webHidden/>
              </w:rPr>
              <w:instrText xml:space="preserve">PAGEREF _Toc220501035 \h</w:instrText>
            </w:r>
            <w:r>
              <w:rPr>
                <w:webHidden/>
              </w:rPr>
              <w:fldChar w:fldCharType="separate"/>
            </w:r>
            <w:r>
              <w:rPr>
                <w:rStyle w:val="Style19"/>
                <w:vanish w:val="false"/>
              </w:rPr>
              <w:tab/>
              <w:t>83</w:t>
            </w:r>
            <w:r>
              <w:rPr>
                <w:webHidden/>
              </w:rPr>
              <w:fldChar w:fldCharType="end"/>
            </w:r>
          </w:hyperlink>
        </w:p>
        <w:p>
          <w:pPr>
            <w:pStyle w:val="TOC2"/>
            <w:rPr>
              <w:rFonts w:ascii="Calibri" w:hAnsi="Calibri" w:eastAsia="" w:asciiTheme="minorHAnsi" w:eastAsiaTheme="minorEastAsia" w:hAnsiTheme="minorHAnsi"/>
              <w:sz w:val="22"/>
              <w:lang w:eastAsia="ru-RU"/>
            </w:rPr>
          </w:pPr>
          <w:hyperlink w:anchor="_Toc220501036">
            <w:r>
              <w:rPr>
                <w:webHidden/>
                <w:rStyle w:val="Style19"/>
                <w:vanish w:val="false"/>
              </w:rPr>
              <w:t>15.1</w:t>
            </w:r>
            <w:r>
              <w:rPr>
                <w:rStyle w:val="Style19"/>
                <w:rFonts w:eastAsia="" w:ascii="Calibri" w:hAnsi="Calibri" w:asciiTheme="minorHAnsi" w:eastAsiaTheme="minorEastAsia" w:hAnsiTheme="minorHAnsi"/>
                <w:sz w:val="22"/>
                <w:lang w:eastAsia="ru-RU"/>
              </w:rPr>
              <w:tab/>
            </w:r>
            <w:r>
              <w:rPr>
                <w:rStyle w:val="Style19"/>
              </w:rPr>
              <w:t>Пояснения к форме Заявки на аккредитацию</w:t>
            </w:r>
            <w:r>
              <w:rPr>
                <w:webHidden/>
              </w:rPr>
              <w:fldChar w:fldCharType="begin"/>
            </w:r>
            <w:r>
              <w:rPr>
                <w:webHidden/>
              </w:rPr>
              <w:instrText xml:space="preserve">PAGEREF _Toc220501036 \h</w:instrText>
            </w:r>
            <w:r>
              <w:rPr>
                <w:webHidden/>
              </w:rPr>
              <w:fldChar w:fldCharType="separate"/>
            </w:r>
            <w:r>
              <w:rPr>
                <w:rStyle w:val="Style19"/>
                <w:vanish w:val="false"/>
              </w:rPr>
              <w:tab/>
              <w:t>83</w:t>
            </w:r>
            <w:r>
              <w:rPr>
                <w:webHidden/>
              </w:rPr>
              <w:fldChar w:fldCharType="end"/>
            </w:r>
          </w:hyperlink>
          <w:r>
            <w:rPr>
              <w:rStyle w:val="Style19"/>
              <w:vanish w:val="false"/>
            </w:rPr>
            <w:fldChar w:fldCharType="end"/>
          </w:r>
        </w:p>
      </w:sdtContent>
    </w:sdt>
    <w:p>
      <w:pPr>
        <w:pStyle w:val="Style29"/>
        <w:jc w:val="both"/>
        <w:rPr/>
      </w:pPr>
      <w:r>
        <w:rPr/>
      </w:r>
    </w:p>
    <w:p>
      <w:pPr>
        <w:pStyle w:val="Style28"/>
        <w:numPr>
          <w:ilvl w:val="0"/>
          <w:numId w:val="0"/>
        </w:numPr>
        <w:ind w:left="0" w:hanging="0"/>
        <w:outlineLvl w:val="0"/>
        <w:rPr/>
      </w:pPr>
      <w:bookmarkStart w:id="0" w:name="_Toc220500968"/>
      <w:r>
        <w:rPr/>
        <w:t>Сокращения</w:t>
      </w:r>
      <w:bookmarkEnd w:id="0"/>
    </w:p>
    <w:p>
      <w:pPr>
        <w:pStyle w:val="Style29"/>
        <w:ind w:firstLine="567"/>
        <w:rPr/>
      </w:pPr>
      <w:r>
        <w:rPr>
          <w:b/>
          <w:bCs/>
        </w:rPr>
        <w:t>ГК РФ</w:t>
      </w:r>
      <w:r>
        <w:rPr/>
        <w:t xml:space="preserve"> – Гражданской кодекс Российской Федерации.</w:t>
      </w:r>
    </w:p>
    <w:p>
      <w:pPr>
        <w:pStyle w:val="Style29"/>
        <w:ind w:firstLine="567"/>
        <w:rPr/>
      </w:pPr>
      <w:r>
        <w:rPr>
          <w:b/>
          <w:bCs/>
        </w:rPr>
        <w:t>ЕГРИП</w:t>
      </w:r>
      <w:r>
        <w:rPr/>
        <w:t xml:space="preserve"> – Единый государственный реестр индивидуальных предпринимателей.</w:t>
      </w:r>
    </w:p>
    <w:p>
      <w:pPr>
        <w:pStyle w:val="Style29"/>
        <w:ind w:firstLine="567"/>
        <w:rPr/>
      </w:pPr>
      <w:r>
        <w:rPr>
          <w:b/>
          <w:bCs/>
        </w:rPr>
        <w:t>ЕГРЮЛ</w:t>
      </w:r>
      <w:r>
        <w:rPr/>
        <w:t xml:space="preserve"> – Единый государственный реестр юридических лиц.</w:t>
      </w:r>
    </w:p>
    <w:p>
      <w:pPr>
        <w:pStyle w:val="Style29"/>
        <w:ind w:firstLine="567"/>
        <w:rPr/>
      </w:pPr>
      <w:r>
        <w:rPr>
          <w:b/>
          <w:bCs/>
        </w:rPr>
        <w:t>ЕИС</w:t>
      </w:r>
      <w:r>
        <w:rPr/>
        <w:t xml:space="preserve"> – Единая информационная система в сфере закупок.</w:t>
      </w:r>
    </w:p>
    <w:p>
      <w:pPr>
        <w:pStyle w:val="Style29"/>
        <w:ind w:firstLine="567"/>
        <w:rPr/>
      </w:pPr>
      <w:r>
        <w:rPr>
          <w:b/>
          <w:bCs/>
        </w:rPr>
        <w:t>Закон 44-ФЗ</w:t>
      </w:r>
      <w:r>
        <w:rPr/>
        <w:t xml:space="preserve"> – Федеральный закон от 05.04.2013 № 44-ФЗ «О контрактной системе в</w:t>
      </w:r>
      <w:r>
        <w:rPr>
          <w:lang w:val="en-US"/>
        </w:rPr>
        <w:t> </w:t>
      </w:r>
      <w:r>
        <w:rPr/>
        <w:t>сфере закупок товаров, работ, услуг для обеспечения государственных и муниципальных нужд».</w:t>
      </w:r>
    </w:p>
    <w:p>
      <w:pPr>
        <w:pStyle w:val="Style29"/>
        <w:ind w:firstLine="567"/>
        <w:rPr/>
      </w:pPr>
      <w:r>
        <w:rPr>
          <w:b/>
          <w:bCs/>
        </w:rPr>
        <w:t>Закон 209-ФЗ</w:t>
      </w:r>
      <w:r>
        <w:rPr/>
        <w:t xml:space="preserve"> – Федеральный закон от 24.07.2007 № 209-ФЗ «О развитии малого и среднего предпринимательства в Российской Федерации».</w:t>
      </w:r>
    </w:p>
    <w:p>
      <w:pPr>
        <w:pStyle w:val="Style29"/>
        <w:ind w:firstLine="567"/>
        <w:rPr/>
      </w:pPr>
      <w:r>
        <w:rPr>
          <w:b/>
          <w:bCs/>
        </w:rPr>
        <w:t>Закон 223-ФЗ</w:t>
      </w:r>
      <w:r>
        <w:rPr/>
        <w:t xml:space="preserve"> – Федеральный закон от 18.07.2011 № 223-ФЗ «О закупках товаров, работ, услуг отдельными видами юридических лиц».</w:t>
      </w:r>
    </w:p>
    <w:p>
      <w:pPr>
        <w:pStyle w:val="Style29"/>
        <w:ind w:firstLine="567"/>
        <w:rPr/>
      </w:pPr>
      <w:r>
        <w:rPr>
          <w:b/>
          <w:bCs/>
        </w:rPr>
        <w:t>Закон 255-ФЗ</w:t>
      </w:r>
      <w:r>
        <w:rPr/>
        <w:t xml:space="preserve"> – Федеральный закон от 14.07.2022 № 255-ФЗ «О контроле за деятельностью лиц, находящихся под иностранным влиянием».</w:t>
      </w:r>
    </w:p>
    <w:p>
      <w:pPr>
        <w:pStyle w:val="Style29"/>
        <w:ind w:firstLine="567"/>
        <w:rPr/>
      </w:pPr>
      <w:r>
        <w:rPr>
          <w:b/>
          <w:bCs/>
        </w:rPr>
        <w:t>Закон 422-ФЗ</w:t>
      </w:r>
      <w:r>
        <w:rPr/>
        <w:t xml:space="preserve"> – Федеральный закон от 27.11.2018 № 422-ФЗ «О проведении эксперимента по установлению специального налогового режима «Налог на профессиональный доход».</w:t>
      </w:r>
    </w:p>
    <w:p>
      <w:pPr>
        <w:pStyle w:val="Style29"/>
        <w:ind w:firstLine="567"/>
        <w:rPr/>
      </w:pPr>
      <w:r>
        <w:rPr>
          <w:b/>
          <w:bCs/>
        </w:rPr>
        <w:t>Законодательство</w:t>
      </w:r>
      <w:r>
        <w:rPr/>
        <w:t xml:space="preserve"> – законодательство Российской Федерации (если в тексте настоящей Документации о закупке прямо не указано иное).</w:t>
      </w:r>
    </w:p>
    <w:p>
      <w:pPr>
        <w:pStyle w:val="Style29"/>
        <w:ind w:firstLine="567"/>
        <w:rPr/>
      </w:pPr>
      <w:r>
        <w:rPr>
          <w:b/>
          <w:bCs/>
        </w:rPr>
        <w:t>Извещение</w:t>
      </w:r>
      <w:r>
        <w:rPr/>
        <w:t xml:space="preserve"> – извещение о проведении настоящей закупки.</w:t>
      </w:r>
    </w:p>
    <w:p>
      <w:pPr>
        <w:pStyle w:val="Style29"/>
        <w:ind w:firstLine="567"/>
        <w:rPr/>
      </w:pPr>
      <w:r>
        <w:rPr>
          <w:b/>
          <w:bCs/>
        </w:rPr>
        <w:t>ИНН</w:t>
      </w:r>
      <w:r>
        <w:rPr/>
        <w:t xml:space="preserve"> – идентификационный номер налогоплательщика.</w:t>
      </w:r>
    </w:p>
    <w:p>
      <w:pPr>
        <w:pStyle w:val="Style29"/>
        <w:ind w:firstLine="567"/>
        <w:rPr/>
      </w:pPr>
      <w:r>
        <w:rPr>
          <w:b/>
          <w:bCs/>
        </w:rPr>
        <w:t>ИФНС</w:t>
      </w:r>
      <w:r>
        <w:rPr/>
        <w:t xml:space="preserve"> – инспекция Федеральной налоговой службы Российской Федерации.</w:t>
      </w:r>
    </w:p>
    <w:p>
      <w:pPr>
        <w:pStyle w:val="Style29"/>
        <w:ind w:firstLine="567"/>
        <w:rPr/>
      </w:pPr>
      <w:r>
        <w:rPr>
          <w:b/>
          <w:bCs/>
        </w:rPr>
        <w:t>МТР</w:t>
      </w:r>
      <w:r>
        <w:rPr/>
        <w:t xml:space="preserve"> – материально-технические ресурсы.</w:t>
      </w:r>
    </w:p>
    <w:p>
      <w:pPr>
        <w:pStyle w:val="Style29"/>
        <w:ind w:firstLine="567"/>
        <w:rPr/>
      </w:pPr>
      <w:r>
        <w:rPr>
          <w:b/>
          <w:bCs/>
        </w:rPr>
        <w:t>НДС</w:t>
      </w:r>
      <w:r>
        <w:rPr/>
        <w:t xml:space="preserve"> – налог на добавленную стоимость.</w:t>
      </w:r>
    </w:p>
    <w:p>
      <w:pPr>
        <w:pStyle w:val="Style29"/>
        <w:ind w:firstLine="567"/>
        <w:rPr/>
      </w:pPr>
      <w:r>
        <w:rPr>
          <w:b/>
          <w:bCs/>
        </w:rPr>
        <w:t>НМЦ</w:t>
      </w:r>
      <w:r>
        <w:rPr/>
        <w:t xml:space="preserve"> – начальная (максимальная) цена договора.</w:t>
      </w:r>
    </w:p>
    <w:p>
      <w:pPr>
        <w:pStyle w:val="Style29"/>
        <w:ind w:firstLine="567"/>
        <w:rPr/>
      </w:pPr>
      <w:r>
        <w:rPr>
          <w:b/>
          <w:bCs/>
        </w:rPr>
        <w:t>Оператор ЭП</w:t>
      </w:r>
      <w:r>
        <w:rPr/>
        <w:t xml:space="preserve"> – оператор электронной площадки.</w:t>
      </w:r>
    </w:p>
    <w:p>
      <w:pPr>
        <w:pStyle w:val="Style29"/>
        <w:ind w:firstLine="567"/>
        <w:rPr/>
      </w:pPr>
      <w:r>
        <w:rPr>
          <w:b/>
          <w:bCs/>
        </w:rPr>
        <w:t>Официальный сайт</w:t>
      </w:r>
      <w:r>
        <w:rPr/>
        <w:t xml:space="preserve"> – официальный сайт Единой информационной системы в сфере закупок, расположенный в сети Интернет по </w:t>
      </w:r>
      <w:r>
        <w:rPr>
          <w:lang w:val="en-US"/>
        </w:rPr>
        <w:t>URL</w:t>
      </w:r>
      <w:r>
        <w:rPr/>
        <w:t>-адресу https://zakupki.gov.ru/.</w:t>
      </w:r>
    </w:p>
    <w:p>
      <w:pPr>
        <w:pStyle w:val="Style29"/>
        <w:ind w:firstLine="567"/>
        <w:rPr/>
      </w:pPr>
      <w:r>
        <w:rPr>
          <w:b/>
          <w:bCs/>
        </w:rPr>
        <w:t>Положение о закупке</w:t>
      </w:r>
      <w:r>
        <w:rPr/>
        <w:t xml:space="preserve"> – Единое Положение о закупке продукции для нужд Группы РусГидро.</w:t>
      </w:r>
    </w:p>
    <w:p>
      <w:pPr>
        <w:pStyle w:val="Style29"/>
        <w:ind w:firstLine="567"/>
        <w:rPr/>
      </w:pPr>
      <w:r>
        <w:rPr>
          <w:b/>
          <w:bCs/>
        </w:rPr>
        <w:t>Положение об аккредитации</w:t>
      </w:r>
      <w:r>
        <w:rPr/>
        <w:t xml:space="preserve"> – Единое Положение об аккредитации поставщиков продукции в Группе РусГидро, размещенное на Официальном сайте (в составе Положения о закупке).</w:t>
      </w:r>
    </w:p>
    <w:p>
      <w:pPr>
        <w:pStyle w:val="Style29"/>
        <w:ind w:firstLine="567"/>
        <w:rPr/>
      </w:pPr>
      <w:r>
        <w:rPr>
          <w:b/>
          <w:bCs/>
        </w:rPr>
        <w:t>ПП 395</w:t>
      </w:r>
      <w:r>
        <w:rPr/>
        <w:t xml:space="preserve"> – постановление Правительства Российской Федерации от 18.03.2022 № 395 «Об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 году».</w:t>
      </w:r>
    </w:p>
    <w:p>
      <w:pPr>
        <w:pStyle w:val="Style29"/>
        <w:ind w:firstLine="567"/>
        <w:rPr/>
      </w:pPr>
      <w:r>
        <w:rPr>
          <w:b/>
          <w:bCs/>
        </w:rPr>
        <w:t>ПП 1352</w:t>
      </w:r>
      <w:r>
        <w:rPr/>
        <w:t xml:space="preserve"> – постановление Правительства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pPr>
        <w:pStyle w:val="Style29"/>
        <w:ind w:firstLine="567"/>
        <w:rPr/>
      </w:pPr>
      <w:r>
        <w:rPr>
          <w:b/>
          <w:bCs/>
        </w:rPr>
        <w:t>ПП 1875</w:t>
      </w:r>
      <w:r>
        <w:rPr/>
        <w:t xml:space="preserve"> – постановление Правительства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pPr>
        <w:pStyle w:val="Style29"/>
        <w:ind w:firstLine="567"/>
        <w:rPr/>
      </w:pPr>
      <w:r>
        <w:rPr>
          <w:b/>
          <w:bCs/>
        </w:rPr>
        <w:t>Реестр МСП</w:t>
      </w:r>
      <w:r>
        <w:rPr/>
        <w:t xml:space="preserve"> – единый реестр субъектов малого и среднего предпринимательства, ведение которого осуществляется в соответствии с Законом 209-ФЗ.</w:t>
      </w:r>
    </w:p>
    <w:p>
      <w:pPr>
        <w:pStyle w:val="Style29"/>
        <w:ind w:firstLine="567"/>
        <w:rPr/>
      </w:pPr>
      <w:r>
        <w:rPr>
          <w:b/>
          <w:bCs/>
        </w:rPr>
        <w:t>Система ЭДО</w:t>
      </w:r>
      <w:r>
        <w:rPr>
          <w:rStyle w:val="FootnoteReference"/>
          <w:b/>
          <w:bCs/>
        </w:rPr>
        <w:footnoteReference w:id="2"/>
      </w:r>
      <w:r>
        <w:rPr/>
        <w:t xml:space="preserve"> – 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p>
    <w:p>
      <w:pPr>
        <w:pStyle w:val="Style29"/>
        <w:ind w:firstLine="567"/>
        <w:rPr/>
      </w:pPr>
      <w:r>
        <w:rPr>
          <w:b/>
          <w:bCs/>
        </w:rPr>
        <w:t>Стороны</w:t>
      </w:r>
      <w:r>
        <w:rPr/>
        <w:t xml:space="preserve"> – Организатор, Заказчик и Участники, являющиеся сторонами данной закупки (при совместном упоминании).</w:t>
      </w:r>
    </w:p>
    <w:p>
      <w:pPr>
        <w:pStyle w:val="Style29"/>
        <w:ind w:firstLine="567"/>
        <w:rPr/>
      </w:pPr>
      <w:r>
        <w:rPr>
          <w:b/>
          <w:bCs/>
        </w:rPr>
        <w:t>Субъект МСП</w:t>
      </w:r>
      <w:r>
        <w:rPr/>
        <w:t xml:space="preserve"> – субъект малого и среднего предпринимательства.</w:t>
      </w:r>
    </w:p>
    <w:p>
      <w:pPr>
        <w:pStyle w:val="Style29"/>
        <w:ind w:firstLine="567"/>
        <w:rPr/>
      </w:pPr>
      <w:r>
        <w:rPr>
          <w:b/>
          <w:bCs/>
        </w:rPr>
        <w:t>ЭП</w:t>
      </w:r>
      <w:r>
        <w:rPr/>
        <w:t xml:space="preserve"> – электронная площадка.</w:t>
      </w:r>
    </w:p>
    <w:p>
      <w:pPr>
        <w:pStyle w:val="Style28"/>
        <w:numPr>
          <w:ilvl w:val="0"/>
          <w:numId w:val="0"/>
        </w:numPr>
        <w:ind w:left="0" w:hanging="0"/>
        <w:outlineLvl w:val="0"/>
        <w:rPr/>
      </w:pPr>
      <w:bookmarkStart w:id="1" w:name="_Toc220500969"/>
      <w:r>
        <w:rPr/>
        <w:t>Термины и определения</w:t>
      </w:r>
      <w:bookmarkEnd w:id="1"/>
    </w:p>
    <w:p>
      <w:pPr>
        <w:pStyle w:val="Style29"/>
        <w:ind w:firstLine="567"/>
        <w:rPr/>
      </w:pPr>
      <w:r>
        <w:rPr>
          <w:b/>
          <w:bCs/>
        </w:rPr>
        <w:t>Аккредитация</w:t>
      </w:r>
      <w:r>
        <w:rPr/>
        <w:t xml:space="preserve"> – процедура проверки заявителей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с целью защиты интересов Заказчика от действий недобросовестных лиц и неблагонадежных поставщиков продукции при проведении закупочных процедур и выборе Победителя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Положении об аккредитации.</w:t>
      </w:r>
    </w:p>
    <w:p>
      <w:pPr>
        <w:pStyle w:val="Style29"/>
        <w:ind w:firstLine="567"/>
        <w:rPr/>
      </w:pPr>
      <w:r>
        <w:rPr>
          <w:b/>
          <w:bCs/>
        </w:rPr>
        <w:t>Актуализация статуса (аккредитации)</w:t>
      </w:r>
      <w:r>
        <w:rPr/>
        <w:t xml:space="preserve"> – процедура повторной проверки определенного (конкретного)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с продлением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29"/>
        <w:ind w:firstLine="567"/>
        <w:rPr/>
      </w:pPr>
      <w:r>
        <w:rPr>
          <w:b/>
          <w:bCs/>
        </w:rPr>
        <w:t>Альтернативное предложение</w:t>
      </w:r>
      <w:r>
        <w:rPr/>
        <w:t xml:space="preserve"> – предложение Участника, подаваемое в составе заявки дополнительно к основному и содержащее одно или несколько условий, отличающихся от заявленных в основном предложении.</w:t>
      </w:r>
    </w:p>
    <w:p>
      <w:pPr>
        <w:pStyle w:val="Style29"/>
        <w:ind w:firstLine="567"/>
        <w:rPr/>
      </w:pPr>
      <w:r>
        <w:rPr>
          <w:b/>
          <w:bCs/>
        </w:rPr>
        <w:t>Генеральный подрядчик</w:t>
      </w:r>
      <w:r>
        <w:rPr/>
        <w:t xml:space="preserve"> – подрядчик, привлекающий к 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также генеральный исполнитель и соисполнители, генеральный поставщик и субпоставщики, в зависимости от предмета закупки.</w:t>
      </w:r>
    </w:p>
    <w:p>
      <w:pPr>
        <w:pStyle w:val="Style29"/>
        <w:ind w:firstLine="567"/>
        <w:rPr/>
      </w:pPr>
      <w:r>
        <w:rPr>
          <w:b/>
          <w:bCs/>
        </w:rPr>
        <w:t>Документация о закупке</w:t>
      </w:r>
      <w:r>
        <w:rPr/>
        <w:t xml:space="preserve"> – комплект документов, содержащий всю необходимую согласно законодательству, информацию о закупке и условиях ее проведения.</w:t>
      </w:r>
    </w:p>
    <w:p>
      <w:pPr>
        <w:pStyle w:val="Style29"/>
        <w:ind w:firstLine="567"/>
        <w:rPr/>
      </w:pPr>
      <w:r>
        <w:rPr>
          <w:b/>
          <w:bCs/>
        </w:rPr>
        <w:t>Единая информационная система в сфере закупок</w:t>
      </w:r>
      <w:r>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w:t>
      </w:r>
    </w:p>
    <w:p>
      <w:pPr>
        <w:pStyle w:val="Style29"/>
        <w:ind w:firstLine="567"/>
        <w:rPr/>
      </w:pPr>
      <w:r>
        <w:rPr>
          <w:b/>
          <w:bCs/>
        </w:rPr>
        <w:t>Единый реестр субъектов малого и среднего предпринимательства</w:t>
      </w:r>
      <w:r>
        <w:rPr/>
        <w:t xml:space="preserve"> – реестр, являющийся официальным источником сведений о юридических лицах и об индивидуальных предпринимателях,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p>
    <w:p>
      <w:pPr>
        <w:pStyle w:val="Style29"/>
        <w:ind w:firstLine="567"/>
        <w:rPr/>
      </w:pPr>
      <w:r>
        <w:rPr>
          <w:b/>
          <w:bCs/>
        </w:rPr>
        <w:t>Заказчик</w:t>
      </w:r>
      <w:r>
        <w:rPr/>
        <w:t xml:space="preserve"> – юридическое лицо, в интересах и за счет средств, которого осуществляется закупка.</w:t>
      </w:r>
    </w:p>
    <w:p>
      <w:pPr>
        <w:pStyle w:val="Style29"/>
        <w:ind w:firstLine="567"/>
        <w:rPr/>
      </w:pPr>
      <w:r>
        <w:rPr>
          <w:b/>
          <w:bCs/>
        </w:rPr>
        <w:t>Закупка</w:t>
      </w:r>
      <w:r>
        <w:rPr/>
        <w:t xml:space="preserve"> – последовательность действий, осуществляемая в соответствии с требованиями законодательства, Положением о закупке, иными локальными нормативными документами (актами) Заказчика, а для конкурентной закупки (и 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p>
    <w:p>
      <w:pPr>
        <w:pStyle w:val="Style29"/>
        <w:ind w:firstLine="567"/>
        <w:rPr/>
      </w:pPr>
      <w:r>
        <w:rPr>
          <w:b/>
          <w:bCs/>
        </w:rPr>
        <w:t>Закупочная комиссия</w:t>
      </w:r>
      <w:r>
        <w:rPr/>
        <w:t xml:space="preserve"> – коллегиальный орган, принимающий решения о ходе проведения соответствующей закупки (в том числе по выбору ее победителя).</w:t>
      </w:r>
    </w:p>
    <w:p>
      <w:pPr>
        <w:pStyle w:val="Style29"/>
        <w:ind w:firstLine="567"/>
        <w:rPr/>
      </w:pPr>
      <w:r>
        <w:rPr>
          <w:b/>
          <w:bCs/>
        </w:rPr>
        <w:t>Заявка (заявка на участие в закупке)</w:t>
      </w:r>
      <w:r>
        <w:rPr/>
        <w:t xml:space="preserve"> – 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 конкурентных закупок – в Извещении и (или) Документацией о закупке.</w:t>
      </w:r>
    </w:p>
    <w:p>
      <w:pPr>
        <w:pStyle w:val="Style29"/>
        <w:ind w:firstLine="567"/>
        <w:rPr/>
      </w:pPr>
      <w:r>
        <w:rPr>
          <w:b/>
          <w:bCs/>
        </w:rPr>
        <w:t>Заявка на аккредитацию</w:t>
      </w:r>
      <w:r>
        <w:rPr/>
        <w:t xml:space="preserve"> – сведения, которые Заявитель предоставляет в установленном Положением об аккредитации порядке для прохождения аккредитации.</w:t>
      </w:r>
    </w:p>
    <w:p>
      <w:pPr>
        <w:pStyle w:val="Style29"/>
        <w:ind w:firstLine="567"/>
        <w:rPr>
          <w:szCs w:val="26"/>
        </w:rPr>
      </w:pPr>
      <w:r>
        <w:rPr>
          <w:b/>
          <w:bCs/>
        </w:rPr>
        <w:t>Извещение о закупке (Извещение)</w:t>
      </w:r>
      <w:r>
        <w:rPr/>
        <w:t xml:space="preserve"> – документ, предназначенный для потенциальных Участников, публикация (размещение) которого означает официальное объявление о начале закупки (информация в объеме, определенном частью 9 статьи 4 Закона 223-ФЗ и Положением о закупке); под данным документом и соответственно его размещением также подразумевается заполнение и создание на Официальном сайте (ЕИС) и (или) ЭП соответствующей страницы на указанных ресурсах с информацией об объявленной закупке.</w:t>
      </w:r>
    </w:p>
    <w:p>
      <w:pPr>
        <w:pStyle w:val="Style29"/>
        <w:ind w:firstLine="567"/>
        <w:rPr/>
      </w:pPr>
      <w:r>
        <w:rPr>
          <w:b/>
          <w:bCs/>
        </w:rPr>
        <w:t>Интеллектуальные системы управления электросетевым хозяйством</w:t>
      </w:r>
      <w:r>
        <w:rPr/>
        <w:t xml:space="preserve"> – системы удаленного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p>
    <w:p>
      <w:pPr>
        <w:pStyle w:val="Style29"/>
        <w:ind w:firstLine="567"/>
        <w:rPr/>
      </w:pPr>
      <w:r>
        <w:rPr>
          <w:b/>
          <w:bCs/>
        </w:rPr>
        <w:t>Коллективный участник</w:t>
      </w:r>
      <w:r>
        <w:rPr/>
        <w:t xml:space="preserve"> – объединение юридических и (или) физических лиц,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pPr>
        <w:pStyle w:val="Style29"/>
        <w:ind w:firstLine="567"/>
        <w:rPr/>
      </w:pPr>
      <w:r>
        <w:rPr>
          <w:b/>
          <w:bCs/>
        </w:rPr>
        <w:t>Лот</w:t>
      </w:r>
      <w:r>
        <w:rPr/>
        <w:t xml:space="preserve"> – продукция, на которую в рамках закупки допускаются подача отдельного предложения и заключение отдельного договора.</w:t>
      </w:r>
    </w:p>
    <w:p>
      <w:pPr>
        <w:pStyle w:val="Style29"/>
        <w:ind w:firstLine="567"/>
        <w:rPr/>
      </w:pPr>
      <w:r>
        <w:rPr>
          <w:b/>
          <w:bCs/>
        </w:rPr>
        <w:t>Мониторинг аккредитованных поставщиков</w:t>
      </w:r>
      <w:r>
        <w:rPr/>
        <w:t xml:space="preserve"> – процедура выборочной повторной проверки любого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без продления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29"/>
        <w:ind w:firstLine="567"/>
        <w:rPr/>
      </w:pPr>
      <w:r>
        <w:rPr>
          <w:b/>
          <w:bCs/>
        </w:rPr>
        <w:t>Начальная (максимальная) цена договора</w:t>
      </w:r>
      <w:r>
        <w:rPr/>
        <w:t xml:space="preserve"> – 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p>
    <w:p>
      <w:pPr>
        <w:pStyle w:val="Style29"/>
        <w:ind w:firstLine="567"/>
        <w:rPr/>
      </w:pPr>
      <w:r>
        <w:rPr>
          <w:b/>
          <w:bCs/>
        </w:rPr>
        <w:t>Оператор электронной площадки</w:t>
      </w:r>
      <w:r>
        <w:rPr/>
        <w:t xml:space="preserve"> – 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p>
    <w:p>
      <w:pPr>
        <w:pStyle w:val="Style29"/>
        <w:ind w:firstLine="567"/>
        <w:rPr/>
      </w:pPr>
      <w:r>
        <w:rPr>
          <w:b/>
          <w:bCs/>
        </w:rPr>
        <w:t>Организатор</w:t>
      </w:r>
      <w:r>
        <w:rPr/>
        <w:t xml:space="preserve"> – Заказчик или действующее по договору с ним юридическое лицо, выступающее Сторонним организатором закупки.</w:t>
      </w:r>
    </w:p>
    <w:p>
      <w:pPr>
        <w:pStyle w:val="Style29"/>
        <w:ind w:firstLine="567"/>
        <w:rPr/>
      </w:pPr>
      <w:r>
        <w:rPr>
          <w:b/>
          <w:bCs/>
        </w:rPr>
        <w:t>Официальное размещение</w:t>
      </w:r>
      <w:r>
        <w:rPr/>
        <w:t xml:space="preserve"> – размещение информации о закупке на ЭП. Если окончание срока размещения приходится на нерабочий день согласно законодательству, сведения размещаются в первый рабочий день, следующий за нерабочими днями.</w:t>
      </w:r>
    </w:p>
    <w:p>
      <w:pPr>
        <w:pStyle w:val="Style29"/>
        <w:ind w:firstLine="567"/>
        <w:rPr/>
      </w:pPr>
      <w:r>
        <w:rPr>
          <w:b/>
          <w:bCs/>
        </w:rPr>
        <w:t>Переторжка</w:t>
      </w:r>
      <w:r>
        <w:rPr/>
        <w:t xml:space="preserve"> – опциональный этап закупки, представляющий собой процедуру подачи Участниками дополнительных предложений с целью повысить их предпочтительность для Заказчика.</w:t>
      </w:r>
    </w:p>
    <w:p>
      <w:pPr>
        <w:pStyle w:val="Style29"/>
        <w:ind w:firstLine="567"/>
        <w:rPr>
          <w:szCs w:val="26"/>
        </w:rPr>
      </w:pPr>
      <w:r>
        <w:rPr>
          <w:b/>
          <w:bCs/>
          <w:szCs w:val="26"/>
        </w:rPr>
        <w:t>Победитель</w:t>
      </w:r>
      <w:r>
        <w:rPr>
          <w:szCs w:val="26"/>
        </w:rPr>
        <w:t xml:space="preserve"> – Участник, заявка которого соответствует требованиям Документации о закупке и который предложил лучшие условия исполнения договора на основании критериев оценки (или единственного критерия оценки, если условия закупки не предполагают два и более критерия оценки) в соответствии с Документацией о закупке. В случае признания закупки несостоявшейся Единственный участник такой закупки, с которым Заказчик принял решение заключить договор по результатам закупки, в оговоренных Положением о закупке случаях приобретает обязательства Победителя по заключению договора.</w:t>
      </w:r>
    </w:p>
    <w:p>
      <w:pPr>
        <w:pStyle w:val="Style29"/>
        <w:ind w:firstLine="567"/>
        <w:rPr/>
      </w:pPr>
      <w:r>
        <w:rPr>
          <w:b/>
          <w:bCs/>
        </w:rPr>
        <w:t>Поставщик</w:t>
      </w:r>
      <w:r>
        <w:rP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p>
    <w:p>
      <w:pPr>
        <w:pStyle w:val="Style29"/>
        <w:ind w:firstLine="567"/>
        <w:rPr/>
      </w:pPr>
      <w:r>
        <w:rPr>
          <w:b/>
          <w:bCs/>
        </w:rPr>
        <w:t>Постквалификация</w:t>
      </w:r>
      <w:r>
        <w:rPr/>
        <w:t xml:space="preserve"> – процедура дополнительной проверки Участника перед выбором его Победителем на подтверждения его соответствия квалификационным требованиям, установленным в Документации о закупке.</w:t>
      </w:r>
    </w:p>
    <w:p>
      <w:pPr>
        <w:pStyle w:val="Style29"/>
        <w:ind w:firstLine="567"/>
        <w:rPr/>
      </w:pPr>
      <w:r>
        <w:rPr>
          <w:b/>
          <w:bCs/>
        </w:rPr>
        <w:t>Предмет закупки / предмет договора</w:t>
      </w:r>
      <w:r>
        <w:rPr/>
        <w:t xml:space="preserve"> – конкретная продукция, которую предполагается закупить в объеме и на условиях, определенных Заказчиком.</w:t>
      </w:r>
    </w:p>
    <w:p>
      <w:pPr>
        <w:pStyle w:val="Style29"/>
        <w:ind w:firstLine="567"/>
        <w:rPr/>
      </w:pPr>
      <w:r>
        <w:rPr>
          <w:b/>
          <w:bCs/>
        </w:rPr>
        <w:t>Преференция</w:t>
      </w:r>
      <w:r>
        <w:rPr/>
        <w:t xml:space="preserve"> – преимущество, которое Заказчик предоставляет определенным группам поставщиков при проведении закупок в соответствии с Единым Положением о закупке продукции для нужд Группы РусГидро.</w:t>
      </w:r>
    </w:p>
    <w:p>
      <w:pPr>
        <w:pStyle w:val="Style29"/>
        <w:ind w:firstLine="567"/>
        <w:rPr/>
      </w:pPr>
      <w:r>
        <w:rPr>
          <w:b/>
          <w:bCs/>
        </w:rPr>
        <w:t>Применение законодательства о национальном режиме</w:t>
      </w:r>
      <w:r>
        <w:rP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в соответствии с нормами, установленными законодательством.</w:t>
      </w:r>
    </w:p>
    <w:p>
      <w:pPr>
        <w:pStyle w:val="Style29"/>
        <w:ind w:firstLine="567"/>
        <w:rPr/>
      </w:pPr>
      <w:r>
        <w:rPr>
          <w:b/>
          <w:bCs/>
        </w:rPr>
        <w:t>Программное обеспечение</w:t>
      </w:r>
      <w:r>
        <w:rPr/>
        <w:t xml:space="preserve"> – программное обеспечение, включенное в единый реестр Минцифры России 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p>
    <w:p>
      <w:pPr>
        <w:pStyle w:val="Style29"/>
        <w:ind w:firstLine="567"/>
        <w:rPr/>
      </w:pPr>
      <w:r>
        <w:rPr>
          <w:b/>
          <w:bCs/>
        </w:rPr>
        <w:t>Продукция</w:t>
      </w:r>
      <w:r>
        <w:rPr/>
        <w:t xml:space="preserve"> – 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p>
    <w:p>
      <w:pPr>
        <w:pStyle w:val="Style29"/>
        <w:ind w:firstLine="567"/>
        <w:rPr/>
      </w:pPr>
      <w:r>
        <w:rPr>
          <w:b/>
          <w:bCs/>
        </w:rPr>
        <w:t>Реестр аккредитации</w:t>
      </w:r>
      <w:r>
        <w:rPr/>
        <w:t xml:space="preserve"> – перечень лиц – Заявителей, подававших Заявки на аккредитацию с указанием в отношении них результатов процедуры аккредитации.</w:t>
      </w:r>
    </w:p>
    <w:p>
      <w:pPr>
        <w:pStyle w:val="Style29"/>
        <w:ind w:firstLine="567"/>
        <w:rPr/>
      </w:pPr>
      <w:r>
        <w:rPr>
          <w:b/>
          <w:bCs/>
        </w:rPr>
        <w:t>Субъект малого и среднего предпринимательства</w:t>
      </w:r>
      <w:r>
        <w:rPr/>
        <w:t xml:space="preserve"> – определяется в соответствии с Законом 209-ФЗ. Все условия и требования данной Документации о закупке, относящиеся к субъектам МСП, распространяются также на физических лиц, не являющихся индивидуальными предпринимателями и применяющих специальный налоговый режим «Налог на профессиональный доход»</w:t>
      </w:r>
      <w:r>
        <w:rPr>
          <w:rStyle w:val="FootnoteReference"/>
        </w:rPr>
        <w:footnoteReference w:id="3"/>
      </w:r>
      <w:r>
        <w:rPr/>
        <w:t>, если иное не установлено в Документации о закупке.</w:t>
      </w:r>
    </w:p>
    <w:p>
      <w:pPr>
        <w:pStyle w:val="Style29"/>
        <w:ind w:firstLine="567"/>
        <w:rPr/>
      </w:pPr>
      <w:r>
        <w:rPr>
          <w:b/>
          <w:bCs/>
        </w:rPr>
        <w:t>Уполномоченное лицо</w:t>
      </w:r>
      <w:r>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pPr>
        <w:pStyle w:val="Style29"/>
        <w:ind w:firstLine="567"/>
        <w:rPr/>
      </w:pPr>
      <w:r>
        <w:rPr>
          <w:b/>
          <w:bCs/>
        </w:rPr>
        <w:t>Участник</w:t>
      </w:r>
      <w:r>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Законом 255-ФЗ),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Законом 255-ФЗ), выразившее заинтересованность в участии в закупке (посредством получения Документации о закупке, направления запроса о разъяснении Документации о закупке, внесения обеспечения заявки или подачи заявки на участие в закупке).</w:t>
      </w:r>
    </w:p>
    <w:p>
      <w:pPr>
        <w:pStyle w:val="Style23"/>
        <w:rPr/>
      </w:pPr>
      <w:bookmarkStart w:id="2" w:name="_Toc220500970"/>
      <w:bookmarkStart w:id="3" w:name="_Ref125359988"/>
      <w:r>
        <w:rPr/>
        <w:t>Основные сведения о закупке</w:t>
      </w:r>
      <w:bookmarkEnd w:id="2"/>
      <w:bookmarkEnd w:id="3"/>
    </w:p>
    <w:p>
      <w:pPr>
        <w:pStyle w:val="Style24"/>
        <w:rPr/>
      </w:pPr>
      <w:bookmarkStart w:id="4" w:name="_Toc220500971"/>
      <w:r>
        <w:rPr/>
        <w:t>Статус настоящего раздела</w:t>
      </w:r>
      <w:bookmarkEnd w:id="4"/>
    </w:p>
    <w:p>
      <w:pPr>
        <w:pStyle w:val="Style25"/>
        <w:rPr/>
      </w:pPr>
      <w:r>
        <w:rPr/>
        <w:t>В настоящем разделе содержатся основные сведения о предмете, способе и иных ключевых условиях проводимой закупки.</w:t>
      </w:r>
    </w:p>
    <w:p>
      <w:pPr>
        <w:pStyle w:val="Style25"/>
        <w:rPr/>
      </w:pPr>
      <w:r>
        <w:rPr/>
        <w:t xml:space="preserve">Здесь и далее все используемые ссылки относятся к соответствующим пунктам, разделам и подразделам Документации о закупке, если прямо не указано иное; ссылки на приложения относятся к соответствующим приложениям к Документации о закупке, если прямо не указано иное. Ссылки на статьи, пункты и разделы, используемые в </w:t>
      </w:r>
      <w:hyperlink w:anchor="Прил01_ТехТребования">
        <w:r>
          <w:rPr>
            <w:rStyle w:val="Style14"/>
          </w:rPr>
          <w:t>Технических требованиях (Приложение № 1)</w:t>
        </w:r>
      </w:hyperlink>
      <w:r>
        <w:rPr>
          <w:rStyle w:val="Style14"/>
        </w:rPr>
        <w:t>,</w:t>
      </w:r>
      <w:r>
        <w:rPr/>
        <w:t xml:space="preserve"> в </w:t>
      </w:r>
      <w:hyperlink w:anchor="Прил02_ПроектДоговора">
        <w:r>
          <w:rPr>
            <w:rStyle w:val="Style14"/>
          </w:rPr>
          <w:t>Проекте договора (Приложение № 2)</w:t>
        </w:r>
      </w:hyperlink>
      <w:r>
        <w:rPr/>
        <w:t xml:space="preserve"> и иных приложениях к Документации о закупке, относятся соответственно к статьям, пунктам и разделам этих приложений к Документации о закупке. Все приложения к Документации о закупке являются ее неотъемлемыми частями.</w:t>
      </w:r>
    </w:p>
    <w:p>
      <w:pPr>
        <w:pStyle w:val="Style25"/>
        <w:rPr/>
      </w:pPr>
      <w:bookmarkStart w:id="5" w:name="_Ref136768031"/>
      <w:r>
        <w:rPr/>
        <w:t>Информация о проводимой закупке, указанная в подразделе </w:t>
      </w:r>
      <w:r>
        <w:rPr/>
        <w:fldChar w:fldCharType="begin"/>
      </w:r>
      <w:r>
        <w:rPr/>
        <w:instrText xml:space="preserve"> REF _Ref125359973 \r \h </w:instrText>
      </w:r>
      <w:r>
        <w:rPr/>
        <w:fldChar w:fldCharType="separate"/>
      </w:r>
      <w:r>
        <w:rPr/>
        <w:t>1.2</w:t>
      </w:r>
      <w:r>
        <w:rPr/>
        <w:fldChar w:fldCharType="end"/>
      </w:r>
      <w:r>
        <w:rPr/>
        <w:t>, в объеме, определенном частью 9 статьи 4 Закона 223-ФЗ, составляет Извещение о закупке.</w:t>
      </w:r>
      <w:bookmarkEnd w:id="5"/>
    </w:p>
    <w:p>
      <w:pPr>
        <w:pStyle w:val="Style24"/>
        <w:spacing w:before="360" w:after="120"/>
        <w:rPr/>
      </w:pPr>
      <w:bookmarkStart w:id="6" w:name="_Ref125359973"/>
      <w:bookmarkStart w:id="7" w:name="_Ref127270076"/>
      <w:bookmarkStart w:id="8" w:name="_Toc220500972"/>
      <w:r>
        <w:rPr/>
        <w:t>Информация о проводимой закупке</w:t>
      </w:r>
      <w:bookmarkEnd w:id="6"/>
      <w:bookmarkEnd w:id="7"/>
      <w:bookmarkEnd w:id="8"/>
    </w:p>
    <w:tbl>
      <w:tblPr>
        <w:tblStyle w:val="af4"/>
        <w:tblW w:w="9754"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842"/>
        <w:gridCol w:w="3236"/>
        <w:gridCol w:w="5676"/>
      </w:tblGrid>
      <w:tr>
        <w:trPr>
          <w:cnfStyle w:val="100000000000" w:firstRow="1" w:lastRow="0" w:firstColumn="0" w:lastColumn="0" w:oddVBand="0" w:evenVBand="0" w:oddHBand="0" w:evenHBand="0" w:firstRowFirstColumn="0" w:firstRowLastColumn="0" w:lastRowFirstColumn="0" w:lastRowLastColumn="0"/>
        </w:trPr>
        <w:tc>
          <w:tcPr>
            <w:tcW w:w="842" w:type="dxa"/>
            <w:tcBorders/>
          </w:tcPr>
          <w:p>
            <w:pPr>
              <w:pStyle w:val="Style29"/>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3236" w:type="dxa"/>
            <w:tcBorders/>
          </w:tcPr>
          <w:p>
            <w:pPr>
              <w:pStyle w:val="Style29"/>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 пункта</w:t>
            </w:r>
          </w:p>
        </w:tc>
        <w:tc>
          <w:tcPr>
            <w:tcW w:w="5676" w:type="dxa"/>
            <w:tcBorders/>
          </w:tcPr>
          <w:p>
            <w:pPr>
              <w:pStyle w:val="Style29"/>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Содержание пункта</w:t>
            </w:r>
          </w:p>
        </w:tc>
      </w:tr>
      <w:tr>
        <w:trPr/>
        <w:tc>
          <w:tcPr>
            <w:tcW w:w="842"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9" w:name="_Ref125360980"/>
            <w:bookmarkStart w:id="10" w:name="_Ref125360980"/>
            <w:bookmarkEnd w:id="10"/>
          </w:p>
        </w:tc>
        <w:tc>
          <w:tcPr>
            <w:tcW w:w="3236"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Способ закупки:</w:t>
            </w:r>
          </w:p>
        </w:tc>
        <w:tc>
          <w:tcPr>
            <w:tcW w:w="567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Состязательный отбор в электронной форме, участниками которого могут быть только субъекты МСП.</w:t>
            </w:r>
          </w:p>
        </w:tc>
      </w:tr>
      <w:tr>
        <w:trPr/>
        <w:tc>
          <w:tcPr>
            <w:tcW w:w="842"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1" w:name="_Ref125360996"/>
            <w:bookmarkStart w:id="12" w:name="_Ref125360996"/>
            <w:bookmarkEnd w:id="12"/>
          </w:p>
        </w:tc>
        <w:tc>
          <w:tcPr>
            <w:tcW w:w="3236"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Предмет Договора</w:t>
              <w:br/>
              <w:t>(в том числе номер лота):</w:t>
            </w:r>
          </w:p>
        </w:tc>
        <w:tc>
          <w:tcPr>
            <w:tcW w:w="5676" w:type="dxa"/>
            <w:tcBorders/>
          </w:tcPr>
          <w:p>
            <w:pPr>
              <w:pStyle w:val="Style29"/>
              <w:widowControl w:val="false"/>
              <w:suppressAutoHyphens w:val="true"/>
              <w:spacing w:before="60" w:after="60"/>
              <w:rPr>
                <w:szCs w:val="26"/>
              </w:rPr>
            </w:pPr>
            <w:r>
              <w:rPr>
                <w:rFonts w:eastAsia="Calibri" w:cs=""/>
                <w:color w:val="000000"/>
                <w:kern w:val="0"/>
                <w:sz w:val="26"/>
                <w:szCs w:val="26"/>
                <w:lang w:val="ru-RU" w:eastAsia="en-US" w:bidi="ar-SA"/>
              </w:rPr>
              <w:t xml:space="preserve">ОКПД2 28.99.39.190 Поставка аппаратов аварийного всплытия  (19 шт.) и компрессора "Барос-100Э" (1 шт.) для нужд филиала ПАО "РусГидро"-"Кабардино-Балкарский филиал". </w:t>
            </w:r>
            <w:r>
              <w:rPr>
                <w:rFonts w:eastAsia="Calibri" w:cs=""/>
                <w:kern w:val="0"/>
                <w:sz w:val="26"/>
                <w:szCs w:val="26"/>
                <w:lang w:val="ru-RU" w:eastAsia="en-US" w:bidi="ar-SA"/>
              </w:rPr>
              <w:t>Лот №0005-ТПИР ОНМ-2026-КБФ.</w:t>
            </w:r>
          </w:p>
        </w:tc>
      </w:tr>
      <w:tr>
        <w:trPr/>
        <w:tc>
          <w:tcPr>
            <w:tcW w:w="842"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3" w:name="_Ref135729276"/>
            <w:bookmarkStart w:id="14" w:name="_Ref135729276"/>
            <w:bookmarkEnd w:id="14"/>
          </w:p>
        </w:tc>
        <w:tc>
          <w:tcPr>
            <w:tcW w:w="3236"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Описание</w:t>
              <w:br/>
              <w:t>предмета закупки:</w:t>
            </w:r>
          </w:p>
        </w:tc>
        <w:tc>
          <w:tcPr>
            <w:tcW w:w="5676" w:type="dxa"/>
            <w:tcBorders/>
          </w:tcPr>
          <w:p>
            <w:pPr>
              <w:pStyle w:val="Style29"/>
              <w:widowControl w:val="false"/>
              <w:suppressAutoHyphens w:val="true"/>
              <w:spacing w:before="60" w:after="60"/>
              <w:rPr/>
            </w:pPr>
            <w:r>
              <w:rPr>
                <w:rFonts w:eastAsia="Calibri" w:cs=""/>
                <w:kern w:val="0"/>
                <w:sz w:val="26"/>
                <w:szCs w:val="22"/>
                <w:lang w:val="ru-RU" w:eastAsia="en-US" w:bidi="ar-SA"/>
              </w:rPr>
              <w:t>Подробное описание предмета закупки, в том числе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информация о количестве поставляемого товара, объема выполняемых работ, оказываемых услуг, а также место поставки товара, выполнения работы, оказания услуги, содержится в </w:t>
            </w:r>
            <w:hyperlink w:anchor="Прил01_ТехТребования">
              <w:r>
                <w:rPr>
                  <w:rStyle w:val="Style14"/>
                  <w:rFonts w:eastAsia="Calibri" w:cs=""/>
                  <w:kern w:val="0"/>
                  <w:sz w:val="26"/>
                  <w:szCs w:val="22"/>
                  <w:lang w:val="ru-RU" w:eastAsia="en-US" w:bidi="ar-SA"/>
                </w:rPr>
                <w:t>Технических требованиях (Приложении № 1)</w:t>
              </w:r>
            </w:hyperlink>
            <w:r>
              <w:rPr>
                <w:rFonts w:eastAsia="Calibri" w:cs=""/>
                <w:kern w:val="0"/>
                <w:sz w:val="26"/>
                <w:szCs w:val="22"/>
                <w:lang w:val="ru-RU" w:eastAsia="en-US" w:bidi="ar-SA"/>
              </w:rPr>
              <w:t>.</w:t>
            </w:r>
          </w:p>
        </w:tc>
      </w:tr>
      <w:tr>
        <w:trPr/>
        <w:tc>
          <w:tcPr>
            <w:tcW w:w="842"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5" w:name="_Ref125367124"/>
            <w:bookmarkStart w:id="16" w:name="_Ref125367124"/>
            <w:bookmarkEnd w:id="16"/>
          </w:p>
        </w:tc>
        <w:tc>
          <w:tcPr>
            <w:tcW w:w="3236"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Многолотовая закупка:</w:t>
            </w:r>
          </w:p>
        </w:tc>
        <w:tc>
          <w:tcPr>
            <w:tcW w:w="5676"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Нет.</w:t>
            </w:r>
          </w:p>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42"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7" w:name="_Ref125360764"/>
            <w:bookmarkStart w:id="18" w:name="_Ref125360764"/>
            <w:bookmarkEnd w:id="18"/>
          </w:p>
        </w:tc>
        <w:tc>
          <w:tcPr>
            <w:tcW w:w="3236"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Наименование и адрес ЭП, на которой проводится закупка:</w:t>
            </w:r>
          </w:p>
        </w:tc>
        <w:tc>
          <w:tcPr>
            <w:tcW w:w="5676" w:type="dxa"/>
            <w:tcBorders/>
          </w:tcPr>
          <w:p>
            <w:pPr>
              <w:pStyle w:val="Normal"/>
              <w:widowControl w:val="false"/>
              <w:suppressAutoHyphens w:val="true"/>
              <w:spacing w:before="0" w:after="60"/>
              <w:jc w:val="left"/>
              <w:rPr>
                <w:rFonts w:eastAsia="Times New Roman" w:cs="Times New Roman"/>
                <w:szCs w:val="26"/>
                <w:lang w:eastAsia="ru-RU"/>
              </w:rPr>
            </w:pPr>
            <w:r>
              <w:rPr>
                <w:rFonts w:eastAsia="Calibri" w:cs=""/>
                <w:kern w:val="0"/>
                <w:sz w:val="26"/>
                <w:szCs w:val="22"/>
                <w:lang w:val="ru-RU" w:eastAsia="en-US" w:bidi="ar-SA"/>
              </w:rPr>
              <w:t xml:space="preserve">Электронная площадка: </w:t>
            </w:r>
            <w:r>
              <w:rPr>
                <w:rFonts w:eastAsia="Times New Roman" w:cs="Times New Roman"/>
                <w:kern w:val="0"/>
                <w:sz w:val="26"/>
                <w:szCs w:val="26"/>
                <w:lang w:val="ru-RU" w:eastAsia="ru-RU" w:bidi="ar-SA"/>
              </w:rPr>
              <w:t>Электронная (торговая) площадка Акционерного общества «Российский аукционный дом» (ЭТП АО «РАД»):</w:t>
            </w:r>
          </w:p>
          <w:p>
            <w:pPr>
              <w:pStyle w:val="Normal"/>
              <w:widowControl w:val="false"/>
              <w:suppressAutoHyphens w:val="true"/>
              <w:spacing w:before="0" w:after="60"/>
              <w:jc w:val="both"/>
              <w:rPr>
                <w:rFonts w:eastAsia="Times New Roman" w:cs="Times New Roman"/>
                <w:szCs w:val="26"/>
                <w:lang w:eastAsia="ru-RU"/>
              </w:rPr>
            </w:pPr>
            <w:hyperlink r:id="rId3">
              <w:r>
                <w:rPr>
                  <w:rFonts w:eastAsia="Times New Roman" w:cs="Times New Roman"/>
                  <w:color w:val="0000FF"/>
                  <w:kern w:val="0"/>
                  <w:sz w:val="26"/>
                  <w:szCs w:val="26"/>
                  <w:u w:val="single"/>
                  <w:lang w:val="en-US" w:eastAsia="ru-RU" w:bidi="ar-SA"/>
                </w:rPr>
                <w:t>https</w:t>
              </w:r>
              <w:r>
                <w:rPr>
                  <w:rFonts w:eastAsia="Times New Roman" w:cs="Times New Roman"/>
                  <w:color w:val="0000FF"/>
                  <w:kern w:val="0"/>
                  <w:sz w:val="26"/>
                  <w:szCs w:val="26"/>
                  <w:u w:val="single"/>
                  <w:lang w:val="ru-RU" w:eastAsia="ru-RU" w:bidi="ar-SA"/>
                </w:rPr>
                <w:t>://</w:t>
              </w:r>
              <w:r>
                <w:rPr>
                  <w:rFonts w:eastAsia="Times New Roman" w:cs="Times New Roman"/>
                  <w:color w:val="0000FF"/>
                  <w:kern w:val="0"/>
                  <w:sz w:val="26"/>
                  <w:szCs w:val="26"/>
                  <w:u w:val="single"/>
                  <w:lang w:val="en-US" w:eastAsia="ru-RU" w:bidi="ar-SA"/>
                </w:rPr>
                <w:t>tender</w:t>
              </w:r>
              <w:r>
                <w:rPr>
                  <w:rFonts w:eastAsia="Times New Roman" w:cs="Times New Roman"/>
                  <w:color w:val="0000FF"/>
                  <w:kern w:val="0"/>
                  <w:sz w:val="26"/>
                  <w:szCs w:val="26"/>
                  <w:u w:val="single"/>
                  <w:lang w:val="ru-RU" w:eastAsia="ru-RU" w:bidi="ar-SA"/>
                </w:rPr>
                <w:t>.</w:t>
              </w:r>
              <w:r>
                <w:rPr>
                  <w:rFonts w:eastAsia="Times New Roman" w:cs="Times New Roman"/>
                  <w:color w:val="0000FF"/>
                  <w:kern w:val="0"/>
                  <w:sz w:val="26"/>
                  <w:szCs w:val="26"/>
                  <w:u w:val="single"/>
                  <w:lang w:val="en-US" w:eastAsia="ru-RU" w:bidi="ar-SA"/>
                </w:rPr>
                <w:t>lot</w:t>
              </w:r>
              <w:r>
                <w:rPr>
                  <w:rFonts w:eastAsia="Times New Roman" w:cs="Times New Roman"/>
                  <w:color w:val="0000FF"/>
                  <w:kern w:val="0"/>
                  <w:sz w:val="26"/>
                  <w:szCs w:val="26"/>
                  <w:u w:val="single"/>
                  <w:lang w:val="ru-RU" w:eastAsia="ru-RU" w:bidi="ar-SA"/>
                </w:rPr>
                <w:t>-</w:t>
              </w:r>
              <w:r>
                <w:rPr>
                  <w:rFonts w:eastAsia="Times New Roman" w:cs="Times New Roman"/>
                  <w:color w:val="0000FF"/>
                  <w:kern w:val="0"/>
                  <w:sz w:val="26"/>
                  <w:szCs w:val="26"/>
                  <w:u w:val="single"/>
                  <w:lang w:val="en-US" w:eastAsia="ru-RU" w:bidi="ar-SA"/>
                </w:rPr>
                <w:t>online</w:t>
              </w:r>
              <w:r>
                <w:rPr>
                  <w:rFonts w:eastAsia="Times New Roman" w:cs="Times New Roman"/>
                  <w:color w:val="0000FF"/>
                  <w:kern w:val="0"/>
                  <w:sz w:val="26"/>
                  <w:szCs w:val="26"/>
                  <w:u w:val="single"/>
                  <w:lang w:val="ru-RU" w:eastAsia="ru-RU" w:bidi="ar-SA"/>
                </w:rPr>
                <w:t>.</w:t>
              </w:r>
              <w:r>
                <w:rPr>
                  <w:rFonts w:eastAsia="Times New Roman" w:cs="Times New Roman"/>
                  <w:color w:val="0000FF"/>
                  <w:kern w:val="0"/>
                  <w:sz w:val="26"/>
                  <w:szCs w:val="26"/>
                  <w:u w:val="single"/>
                  <w:lang w:val="en-US" w:eastAsia="ru-RU" w:bidi="ar-SA"/>
                </w:rPr>
                <w:t>ru</w:t>
              </w:r>
              <w:r>
                <w:rPr>
                  <w:rFonts w:eastAsia="Times New Roman" w:cs="Times New Roman"/>
                  <w:color w:val="0000FF"/>
                  <w:kern w:val="0"/>
                  <w:sz w:val="26"/>
                  <w:szCs w:val="26"/>
                  <w:u w:val="single"/>
                  <w:lang w:val="ru-RU" w:eastAsia="ru-RU" w:bidi="ar-SA"/>
                </w:rPr>
                <w:t>/</w:t>
              </w:r>
            </w:hyperlink>
            <w:r>
              <w:rPr>
                <w:rFonts w:eastAsia="Times New Roman" w:cs="Times New Roman"/>
                <w:kern w:val="0"/>
                <w:sz w:val="26"/>
                <w:szCs w:val="26"/>
                <w:lang w:val="ru-RU" w:eastAsia="ru-RU" w:bidi="ar-SA"/>
              </w:rPr>
              <w:t xml:space="preserve">., </w:t>
            </w:r>
          </w:p>
          <w:p>
            <w:pPr>
              <w:pStyle w:val="Normal"/>
              <w:widowControl w:val="false"/>
              <w:suppressAutoHyphens w:val="true"/>
              <w:spacing w:before="0" w:after="120"/>
              <w:jc w:val="both"/>
              <w:rPr>
                <w:rFonts w:eastAsia="Times New Roman" w:cs="Times New Roman"/>
                <w:szCs w:val="26"/>
                <w:lang w:eastAsia="ru-RU"/>
              </w:rPr>
            </w:pPr>
            <w:r>
              <w:rPr>
                <w:rFonts w:eastAsia="Times New Roman" w:cs="Times New Roman"/>
                <w:kern w:val="0"/>
                <w:sz w:val="26"/>
                <w:szCs w:val="26"/>
                <w:lang w:val="ru-RU" w:eastAsia="ru-RU" w:bidi="ar-SA"/>
              </w:rPr>
              <w:t>Регламент ЭТП, в соответствии с которым проводится закупка, размещен по адресу:</w:t>
            </w:r>
          </w:p>
          <w:p>
            <w:pPr>
              <w:pStyle w:val="Style29"/>
              <w:widowControl w:val="false"/>
              <w:suppressAutoHyphens w:val="true"/>
              <w:spacing w:before="60" w:after="60"/>
              <w:rPr/>
            </w:pPr>
            <w:hyperlink r:id="rId4">
              <w:r>
                <w:rPr>
                  <w:rFonts w:eastAsia="Times New Roman" w:cs="Times New Roman"/>
                  <w:color w:val="0000FF"/>
                  <w:kern w:val="0"/>
                  <w:sz w:val="26"/>
                  <w:szCs w:val="26"/>
                  <w:u w:val="single"/>
                  <w:lang w:val="ru-RU" w:eastAsia="ru-RU" w:bidi="ar-SA"/>
                </w:rPr>
                <w:t>https://tender.lot-online.ru/app/EtpDocList/page</w:t>
              </w:r>
            </w:hyperlink>
            <w:r>
              <w:rPr>
                <w:rFonts w:eastAsia="Times New Roman" w:cs="Times New Roman"/>
                <w:kern w:val="0"/>
                <w:sz w:val="26"/>
                <w:szCs w:val="26"/>
                <w:lang w:val="ru-RU" w:eastAsia="ru-RU" w:bidi="ar-SA"/>
              </w:rPr>
              <w:t xml:space="preserve"> </w:t>
            </w:r>
            <w:r>
              <w:rPr>
                <w:rFonts w:eastAsia="Lucida Sans Unicode" w:cs="Times New Roman"/>
                <w:i/>
                <w:kern w:val="2"/>
                <w:sz w:val="26"/>
                <w:szCs w:val="26"/>
                <w:shd w:fill="FFFF99" w:val="clear"/>
                <w:lang w:val="ru-RU" w:eastAsia="ru-RU" w:bidi="ar-SA"/>
              </w:rPr>
              <w:t xml:space="preserve"> </w:t>
            </w:r>
          </w:p>
        </w:tc>
      </w:tr>
      <w:tr>
        <w:trPr/>
        <w:tc>
          <w:tcPr>
            <w:tcW w:w="842"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9" w:name="_Ref125360970"/>
            <w:bookmarkStart w:id="20" w:name="_Ref125360970"/>
            <w:bookmarkEnd w:id="20"/>
          </w:p>
        </w:tc>
        <w:tc>
          <w:tcPr>
            <w:tcW w:w="3236"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Участники:</w:t>
            </w:r>
          </w:p>
        </w:tc>
        <w:tc>
          <w:tcPr>
            <w:tcW w:w="567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Участвовать в закупке могут только субъекты МСП, а также физические лица, не являющихся индивидуальными предпринимателями и применяющих специальный налоговый режим «Налог на профессиональный доход».</w:t>
            </w:r>
          </w:p>
          <w:p>
            <w:pPr>
              <w:pStyle w:val="Style29"/>
              <w:widowControl w:val="false"/>
              <w:suppressAutoHyphens w:val="true"/>
              <w:spacing w:before="60" w:after="60"/>
              <w:rPr/>
            </w:pPr>
            <w:r>
              <w:rPr>
                <w:rFonts w:eastAsia="Calibri" w:cs=""/>
                <w:kern w:val="0"/>
                <w:sz w:val="26"/>
                <w:szCs w:val="22"/>
                <w:lang w:val="ru-RU" w:eastAsia="en-US" w:bidi="ar-SA"/>
              </w:rPr>
              <w:t xml:space="preserve">При этом Участник вправе привлекать субподрядчиков (соисполнителей), в том числе не являющихся субъектами МСП, а также указанными выше физическими лицами (в случае отсутствия в условиях </w:t>
            </w:r>
            <w:hyperlink w:anchor="Прил02_ПроектДоговора">
              <w:r>
                <w:rPr>
                  <w:rStyle w:val="Style14"/>
                  <w:rFonts w:eastAsia="Calibri" w:cs=""/>
                  <w:kern w:val="0"/>
                  <w:sz w:val="26"/>
                  <w:szCs w:val="22"/>
                  <w:lang w:val="ru-RU" w:eastAsia="en-US" w:bidi="ar-SA"/>
                </w:rPr>
                <w:t>Проекта Договора (Приложение № 2)</w:t>
              </w:r>
            </w:hyperlink>
            <w:r>
              <w:rPr>
                <w:rFonts w:eastAsia="Calibri" w:cs=""/>
                <w:kern w:val="0"/>
                <w:sz w:val="26"/>
                <w:szCs w:val="22"/>
                <w:lang w:val="ru-RU" w:eastAsia="en-US" w:bidi="ar-SA"/>
              </w:rPr>
              <w:t xml:space="preserve"> прямого запрета на привлечение к исполнению обязательств по Договору третьих лиц).</w:t>
            </w:r>
          </w:p>
        </w:tc>
      </w:tr>
      <w:tr>
        <w:trPr/>
        <w:tc>
          <w:tcPr>
            <w:tcW w:w="842"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1" w:name="_Ref125360988"/>
            <w:bookmarkStart w:id="22" w:name="_Ref125360988"/>
            <w:bookmarkEnd w:id="22"/>
          </w:p>
        </w:tc>
        <w:tc>
          <w:tcPr>
            <w:tcW w:w="3236"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Заказчик:</w:t>
            </w:r>
          </w:p>
        </w:tc>
        <w:tc>
          <w:tcPr>
            <w:tcW w:w="5676" w:type="dxa"/>
            <w:tcBorders/>
          </w:tcPr>
          <w:p>
            <w:pPr>
              <w:pStyle w:val="Normal"/>
              <w:widowControl w:val="false"/>
              <w:suppressAutoHyphens w:val="true"/>
              <w:spacing w:before="0" w:after="60"/>
              <w:jc w:val="both"/>
              <w:rPr>
                <w:rFonts w:eastAsia="Times New Roman" w:cs="Times New Roman"/>
                <w:szCs w:val="26"/>
                <w:lang w:eastAsia="ru-RU"/>
              </w:rPr>
            </w:pPr>
            <w:r>
              <w:rPr>
                <w:rFonts w:eastAsia="Times New Roman" w:cs="Times New Roman"/>
                <w:kern w:val="0"/>
                <w:sz w:val="26"/>
                <w:szCs w:val="26"/>
                <w:lang w:val="ru-RU" w:eastAsia="ru-RU" w:bidi="ar-SA"/>
              </w:rPr>
              <w:t xml:space="preserve">Публичное акционерное общество «Федеральная гидрогенерирующая компания – РусГидро» </w:t>
              <w:br/>
              <w:t>(ПАО «РусГидро»)</w:t>
            </w:r>
          </w:p>
          <w:p>
            <w:pPr>
              <w:pStyle w:val="Normal"/>
              <w:widowControl w:val="false"/>
              <w:suppressAutoHyphens w:val="true"/>
              <w:spacing w:before="0" w:after="60"/>
              <w:jc w:val="both"/>
              <w:rPr>
                <w:rFonts w:eastAsia="Times New Roman" w:cs="Times New Roman"/>
                <w:szCs w:val="26"/>
                <w:lang w:eastAsia="ru-RU"/>
              </w:rPr>
            </w:pPr>
            <w:r>
              <w:rPr>
                <w:rFonts w:eastAsia="Times New Roman" w:cs="Times New Roman"/>
                <w:kern w:val="0"/>
                <w:sz w:val="26"/>
                <w:szCs w:val="26"/>
                <w:lang w:val="ru-RU" w:eastAsia="ru-RU" w:bidi="ar-SA"/>
              </w:rPr>
              <w:t>Место нахождения: 660017, Красноярский край, город Красноярск, улица Дубровинского, дом 43, стр. 1.</w:t>
            </w:r>
          </w:p>
          <w:p>
            <w:pPr>
              <w:pStyle w:val="Normal"/>
              <w:widowControl w:val="false"/>
              <w:suppressAutoHyphens w:val="true"/>
              <w:spacing w:before="0" w:after="60"/>
              <w:jc w:val="both"/>
              <w:rPr>
                <w:rFonts w:eastAsia="Times New Roman" w:cs="Times New Roman"/>
                <w:szCs w:val="26"/>
                <w:lang w:eastAsia="ru-RU"/>
              </w:rPr>
            </w:pPr>
            <w:r>
              <w:rPr>
                <w:rFonts w:eastAsia="Times New Roman" w:cs="Times New Roman"/>
                <w:kern w:val="0"/>
                <w:sz w:val="26"/>
                <w:szCs w:val="26"/>
                <w:lang w:val="ru-RU" w:eastAsia="ru-RU" w:bidi="ar-SA"/>
              </w:rPr>
              <w:t>Почтовый адрес: 127006, Москва, ул. Малая Дмитровка, д.7</w:t>
            </w:r>
          </w:p>
          <w:p>
            <w:pPr>
              <w:pStyle w:val="Normal"/>
              <w:widowControl w:val="false"/>
              <w:suppressAutoHyphens w:val="true"/>
              <w:spacing w:before="0" w:after="60"/>
              <w:jc w:val="both"/>
              <w:rPr>
                <w:rFonts w:eastAsia="Times New Roman" w:cs="Times New Roman"/>
                <w:szCs w:val="26"/>
                <w:lang w:eastAsia="ru-RU"/>
              </w:rPr>
            </w:pPr>
            <w:r>
              <w:rPr>
                <w:rFonts w:eastAsia="Times New Roman" w:cs="Times New Roman"/>
                <w:kern w:val="0"/>
                <w:sz w:val="26"/>
                <w:szCs w:val="26"/>
                <w:lang w:val="ru-RU" w:eastAsia="ru-RU" w:bidi="ar-SA"/>
              </w:rPr>
              <w:t>Контактный телефон: 8 (800) 333-8000</w:t>
            </w:r>
          </w:p>
          <w:p>
            <w:pPr>
              <w:pStyle w:val="Normal"/>
              <w:widowControl w:val="false"/>
              <w:suppressAutoHyphens w:val="true"/>
              <w:spacing w:before="0" w:after="60"/>
              <w:jc w:val="both"/>
              <w:rPr>
                <w:rFonts w:eastAsia="Times New Roman" w:cs="Times New Roman"/>
                <w:color w:val="0000FF"/>
                <w:szCs w:val="26"/>
                <w:u w:val="single"/>
                <w:lang w:eastAsia="ru-RU"/>
              </w:rPr>
            </w:pPr>
            <w:r>
              <w:rPr>
                <w:rFonts w:eastAsia="Times New Roman" w:cs="Times New Roman"/>
                <w:kern w:val="0"/>
                <w:sz w:val="26"/>
                <w:szCs w:val="26"/>
                <w:lang w:val="ru-RU" w:eastAsia="ru-RU" w:bidi="ar-SA"/>
              </w:rPr>
              <w:t xml:space="preserve">Адрес электронной почты: </w:t>
            </w:r>
            <w:r>
              <w:rPr>
                <w:rFonts w:eastAsia="Times New Roman" w:cs="Times New Roman"/>
                <w:vanish/>
                <w:color w:val="0000FF"/>
                <w:kern w:val="0"/>
                <w:sz w:val="26"/>
                <w:szCs w:val="26"/>
                <w:u w:val="single"/>
                <w:lang w:val="ru-RU" w:eastAsia="ru-RU" w:bidi="ar-SA"/>
              </w:rPr>
              <w:t>office@rushydro.ru</w:t>
            </w:r>
          </w:p>
        </w:tc>
      </w:tr>
      <w:tr>
        <w:trPr/>
        <w:tc>
          <w:tcPr>
            <w:tcW w:w="842"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3" w:name="_Ref125360954"/>
            <w:bookmarkStart w:id="24" w:name="_Ref125360954"/>
            <w:bookmarkEnd w:id="24"/>
          </w:p>
        </w:tc>
        <w:tc>
          <w:tcPr>
            <w:tcW w:w="3236"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Организатор:</w:t>
            </w:r>
          </w:p>
        </w:tc>
        <w:tc>
          <w:tcPr>
            <w:tcW w:w="5676" w:type="dxa"/>
            <w:tcBorders/>
          </w:tcPr>
          <w:p>
            <w:pPr>
              <w:pStyle w:val="Normal"/>
              <w:widowControl w:val="false"/>
              <w:suppressAutoHyphens w:val="true"/>
              <w:spacing w:before="0" w:after="60"/>
              <w:jc w:val="both"/>
              <w:rPr>
                <w:rFonts w:eastAsia="Times New Roman" w:cs="Times New Roman"/>
                <w:szCs w:val="26"/>
                <w:lang w:eastAsia="ru-RU"/>
              </w:rPr>
            </w:pPr>
            <w:r>
              <w:rPr>
                <w:rFonts w:eastAsia="Times New Roman" w:cs="Times New Roman"/>
                <w:kern w:val="0"/>
                <w:sz w:val="26"/>
                <w:szCs w:val="26"/>
                <w:lang w:val="ru-RU" w:eastAsia="ru-RU" w:bidi="ar-SA"/>
              </w:rPr>
              <w:t xml:space="preserve">Наименование (полное и сокращенное): Публичное акционерное общество "Федеральная гидрогенерирующая компания - РусГидро" - "Кабардино-Балкарский филиал" (сокращенное наименование филиал ПАО "РусГидро" - "Кабардино-Балкарский филиал"). </w:t>
            </w:r>
          </w:p>
          <w:p>
            <w:pPr>
              <w:pStyle w:val="Normal"/>
              <w:widowControl w:val="false"/>
              <w:suppressAutoHyphens w:val="true"/>
              <w:spacing w:before="0" w:after="60"/>
              <w:jc w:val="both"/>
              <w:rPr>
                <w:rFonts w:eastAsia="Times New Roman" w:cs="Times New Roman"/>
                <w:szCs w:val="26"/>
                <w:lang w:eastAsia="ru-RU"/>
              </w:rPr>
            </w:pPr>
            <w:r>
              <w:rPr>
                <w:rFonts w:eastAsia="Times New Roman" w:cs="Times New Roman"/>
                <w:kern w:val="0"/>
                <w:sz w:val="26"/>
                <w:szCs w:val="26"/>
                <w:lang w:val="ru-RU" w:eastAsia="ru-RU" w:bidi="ar-SA"/>
              </w:rPr>
              <w:t xml:space="preserve">Место нахождения: 361801, КБР, Черекский р-н, п.г.т. Кашхатау. </w:t>
            </w:r>
          </w:p>
          <w:p>
            <w:pPr>
              <w:pStyle w:val="Normal"/>
              <w:widowControl w:val="false"/>
              <w:suppressAutoHyphens w:val="true"/>
              <w:spacing w:before="0" w:after="60"/>
              <w:jc w:val="both"/>
              <w:rPr>
                <w:rFonts w:eastAsia="Times New Roman" w:cs="Times New Roman"/>
                <w:szCs w:val="26"/>
                <w:lang w:eastAsia="ru-RU"/>
              </w:rPr>
            </w:pPr>
            <w:r>
              <w:rPr>
                <w:rFonts w:eastAsia="Times New Roman" w:cs="Times New Roman"/>
                <w:kern w:val="0"/>
                <w:sz w:val="26"/>
                <w:szCs w:val="26"/>
                <w:lang w:val="ru-RU" w:eastAsia="ru-RU" w:bidi="ar-SA"/>
              </w:rPr>
              <w:t>Почтовый адрес: 360024, КБР, г. Нальчик, а/я 9.</w:t>
            </w:r>
          </w:p>
          <w:p>
            <w:pPr>
              <w:pStyle w:val="Normal"/>
              <w:widowControl w:val="false"/>
              <w:suppressAutoHyphens w:val="true"/>
              <w:spacing w:before="0" w:after="60"/>
              <w:jc w:val="both"/>
              <w:rPr>
                <w:rFonts w:eastAsia="Times New Roman" w:cs="Times New Roman"/>
                <w:szCs w:val="26"/>
                <w:lang w:eastAsia="ru-RU"/>
              </w:rPr>
            </w:pPr>
            <w:r>
              <w:rPr>
                <w:rFonts w:eastAsia="Times New Roman" w:cs="Times New Roman"/>
                <w:kern w:val="0"/>
                <w:sz w:val="26"/>
                <w:szCs w:val="26"/>
                <w:lang w:val="ru-RU" w:eastAsia="ru-RU" w:bidi="ar-SA"/>
              </w:rPr>
              <w:t xml:space="preserve">Адрес электронной почты: </w:t>
            </w:r>
            <w:hyperlink r:id="rId5">
              <w:r>
                <w:rPr>
                  <w:rFonts w:eastAsia="Times New Roman" w:cs="Times New Roman"/>
                  <w:color w:val="0000FF"/>
                  <w:kern w:val="0"/>
                  <w:sz w:val="26"/>
                  <w:szCs w:val="26"/>
                  <w:u w:val="single"/>
                  <w:lang w:val="ru-RU" w:eastAsia="ru-RU" w:bidi="ar-SA"/>
                </w:rPr>
                <w:t>kbf@.rushydro.ru</w:t>
              </w:r>
            </w:hyperlink>
            <w:r>
              <w:rPr>
                <w:rFonts w:eastAsia="Times New Roman" w:cs="Times New Roman"/>
                <w:kern w:val="0"/>
                <w:sz w:val="26"/>
                <w:szCs w:val="26"/>
                <w:lang w:val="ru-RU" w:eastAsia="ru-RU" w:bidi="ar-SA"/>
              </w:rPr>
              <w:t xml:space="preserve">   </w:t>
            </w:r>
          </w:p>
          <w:p>
            <w:pPr>
              <w:pStyle w:val="Normal"/>
              <w:widowControl w:val="false"/>
              <w:suppressAutoHyphens w:val="true"/>
              <w:spacing w:before="0" w:after="60"/>
              <w:jc w:val="both"/>
              <w:rPr>
                <w:rFonts w:eastAsia="Times New Roman" w:cs="Times New Roman"/>
                <w:szCs w:val="26"/>
                <w:lang w:eastAsia="ru-RU"/>
              </w:rPr>
            </w:pPr>
            <w:r>
              <w:rPr>
                <w:rFonts w:eastAsia="Times New Roman" w:cs="Times New Roman"/>
                <w:kern w:val="0"/>
                <w:sz w:val="26"/>
                <w:szCs w:val="26"/>
                <w:lang w:val="ru-RU" w:eastAsia="ru-RU" w:bidi="ar-SA"/>
              </w:rPr>
              <w:t>Контактный телефон: +7(8662)77-94-05.</w:t>
            </w:r>
          </w:p>
        </w:tc>
      </w:tr>
      <w:tr>
        <w:trPr/>
        <w:tc>
          <w:tcPr>
            <w:tcW w:w="842"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5" w:name="_Ref125361238"/>
            <w:bookmarkStart w:id="26" w:name="_Ref125361238"/>
            <w:bookmarkEnd w:id="26"/>
          </w:p>
        </w:tc>
        <w:tc>
          <w:tcPr>
            <w:tcW w:w="3236"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Представитель Организатора:</w:t>
            </w:r>
          </w:p>
        </w:tc>
        <w:tc>
          <w:tcPr>
            <w:tcW w:w="5676" w:type="dxa"/>
            <w:tcBorders/>
          </w:tcPr>
          <w:p>
            <w:pPr>
              <w:pStyle w:val="Normal"/>
              <w:widowControl w:val="false"/>
              <w:suppressAutoHyphens w:val="true"/>
              <w:spacing w:before="0" w:after="60"/>
              <w:jc w:val="both"/>
              <w:rPr>
                <w:rFonts w:eastAsia="Times New Roman" w:cs="Times New Roman"/>
                <w:szCs w:val="26"/>
                <w:lang w:eastAsia="ru-RU"/>
              </w:rPr>
            </w:pPr>
            <w:r>
              <w:rPr>
                <w:rFonts w:eastAsia="Times New Roman" w:cs="Times New Roman"/>
                <w:kern w:val="0"/>
                <w:sz w:val="26"/>
                <w:szCs w:val="26"/>
                <w:lang w:val="ru-RU" w:eastAsia="ru-RU" w:bidi="ar-SA"/>
              </w:rPr>
              <w:t>Контактное лицо (Ф.И.О.): Бачиева Эльвира Мухтаровна</w:t>
            </w:r>
          </w:p>
          <w:p>
            <w:pPr>
              <w:pStyle w:val="Normal"/>
              <w:widowControl w:val="false"/>
              <w:suppressAutoHyphens w:val="true"/>
              <w:spacing w:before="0" w:after="60"/>
              <w:jc w:val="both"/>
              <w:rPr>
                <w:rFonts w:eastAsia="Times New Roman" w:cs="Times New Roman"/>
                <w:szCs w:val="26"/>
                <w:lang w:eastAsia="ru-RU"/>
              </w:rPr>
            </w:pPr>
            <w:r>
              <w:rPr>
                <w:rFonts w:eastAsia="Times New Roman" w:cs="Times New Roman"/>
                <w:kern w:val="0"/>
                <w:sz w:val="26"/>
                <w:szCs w:val="26"/>
                <w:lang w:val="ru-RU" w:eastAsia="ru-RU" w:bidi="ar-SA"/>
              </w:rPr>
              <w:t>Контактный телефон: +7(8662)77-94-43.</w:t>
            </w:r>
          </w:p>
          <w:p>
            <w:pPr>
              <w:pStyle w:val="Normal"/>
              <w:widowControl w:val="false"/>
              <w:suppressAutoHyphens w:val="true"/>
              <w:spacing w:before="0" w:after="60"/>
              <w:jc w:val="both"/>
              <w:rPr>
                <w:rFonts w:eastAsia="Times New Roman" w:cs="Times New Roman"/>
                <w:color w:val="0000FF"/>
                <w:szCs w:val="26"/>
                <w:u w:val="single"/>
                <w:lang w:eastAsia="ru-RU"/>
              </w:rPr>
            </w:pPr>
            <w:r>
              <w:rPr>
                <w:rFonts w:eastAsia="Times New Roman" w:cs="Times New Roman"/>
                <w:kern w:val="0"/>
                <w:sz w:val="26"/>
                <w:szCs w:val="26"/>
                <w:lang w:val="ru-RU" w:eastAsia="ru-RU" w:bidi="ar-SA"/>
              </w:rPr>
              <w:t xml:space="preserve">Адрес электронной почты: </w:t>
            </w:r>
            <w:hyperlink r:id="rId6">
              <w:r>
                <w:rPr>
                  <w:rFonts w:eastAsia="Times New Roman" w:cs="Times New Roman"/>
                  <w:color w:val="0000FF"/>
                  <w:kern w:val="0"/>
                  <w:sz w:val="26"/>
                  <w:szCs w:val="26"/>
                  <w:u w:val="single"/>
                  <w:lang w:val="ru-RU" w:eastAsia="ru-RU" w:bidi="ar-SA"/>
                </w:rPr>
                <w:t>BachievaEM@rushydro.ru</w:t>
              </w:r>
            </w:hyperlink>
          </w:p>
        </w:tc>
      </w:tr>
      <w:tr>
        <w:trPr/>
        <w:tc>
          <w:tcPr>
            <w:tcW w:w="842"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7" w:name="_Ref125362694"/>
            <w:bookmarkStart w:id="28" w:name="_Ref125362694"/>
            <w:bookmarkEnd w:id="28"/>
          </w:p>
        </w:tc>
        <w:tc>
          <w:tcPr>
            <w:tcW w:w="3236"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Официальный источник размещения информации о проведении закупки / срок, место и порядок предоставления Документации о закупке:</w:t>
            </w:r>
          </w:p>
        </w:tc>
        <w:tc>
          <w:tcPr>
            <w:tcW w:w="567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Документация о закупке официально размещена на ЭП и доступна для ознакомления любым заинтересованным лицам. Официальным источником информации о ходе проведения закупки является ЭП, указанная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Документация о закупке доступна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w:t>
            </w:r>
          </w:p>
        </w:tc>
      </w:tr>
      <w:tr>
        <w:trPr/>
        <w:tc>
          <w:tcPr>
            <w:tcW w:w="842"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9" w:name="_Ref125360963"/>
            <w:bookmarkStart w:id="30" w:name="_Ref125360963"/>
            <w:bookmarkEnd w:id="30"/>
          </w:p>
        </w:tc>
        <w:tc>
          <w:tcPr>
            <w:tcW w:w="3236"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размещения Извещения о проведении закупки:</w:t>
            </w:r>
          </w:p>
        </w:tc>
        <w:tc>
          <w:tcPr>
            <w:tcW w:w="5676" w:type="dxa"/>
            <w:tcBorders/>
          </w:tcPr>
          <w:p>
            <w:pPr>
              <w:pStyle w:val="Style29"/>
              <w:widowControl w:val="false"/>
              <w:suppressAutoHyphens w:val="true"/>
              <w:spacing w:before="60" w:after="60"/>
              <w:rPr>
                <w:rStyle w:val="Style11"/>
                <w:i w:val="false"/>
                <w:i w:val="false"/>
                <w:iCs w:val="false"/>
                <w:shd w:fill="auto" w:val="clear"/>
              </w:rPr>
            </w:pPr>
            <w:r>
              <w:rPr>
                <w:rFonts w:eastAsia="Calibri" w:cs=""/>
                <w:kern w:val="0"/>
                <w:sz w:val="26"/>
                <w:szCs w:val="22"/>
                <w:highlight w:val="yellow"/>
                <w:lang w:val="ru-RU" w:eastAsia="en-US" w:bidi="ar-SA"/>
              </w:rPr>
              <w:t xml:space="preserve">«05» </w:t>
            </w:r>
            <w:r>
              <w:rPr>
                <w:rFonts w:eastAsia="Calibri" w:cs=""/>
                <w:kern w:val="0"/>
                <w:sz w:val="26"/>
                <w:szCs w:val="22"/>
                <w:highlight w:val="yellow"/>
                <w:lang w:val="en-US" w:eastAsia="en-US" w:bidi="ar-SA"/>
              </w:rPr>
              <w:t>июня</w:t>
            </w:r>
            <w:r>
              <w:rPr>
                <w:rFonts w:eastAsia="Calibri" w:cs=""/>
                <w:kern w:val="0"/>
                <w:sz w:val="26"/>
                <w:szCs w:val="22"/>
                <w:highlight w:val="yellow"/>
                <w:lang w:val="ru-RU" w:eastAsia="en-US" w:bidi="ar-SA"/>
              </w:rPr>
              <w:t xml:space="preserve"> 2026г</w:t>
            </w:r>
            <w:r>
              <w:rPr>
                <w:rFonts w:eastAsia="Calibri" w:cs=""/>
                <w:kern w:val="0"/>
                <w:sz w:val="26"/>
                <w:szCs w:val="22"/>
                <w:lang w:val="ru-RU" w:eastAsia="en-US" w:bidi="ar-SA"/>
              </w:rPr>
              <w:t>.</w:t>
            </w:r>
          </w:p>
        </w:tc>
      </w:tr>
      <w:tr>
        <w:trPr/>
        <w:tc>
          <w:tcPr>
            <w:tcW w:w="842"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1" w:name="_Ref125362837"/>
            <w:bookmarkStart w:id="32" w:name="_Ref125362837"/>
            <w:bookmarkEnd w:id="32"/>
          </w:p>
        </w:tc>
        <w:tc>
          <w:tcPr>
            <w:tcW w:w="3236"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Начальная (максимальная) цена договора (цена лота):</w:t>
            </w:r>
          </w:p>
        </w:tc>
        <w:tc>
          <w:tcPr>
            <w:tcW w:w="567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НМЦ составляет: 4 979 213,64</w:t>
            </w:r>
            <w:r>
              <w:rPr>
                <w:rFonts w:eastAsia="Calibri" w:cs=""/>
                <w:i/>
                <w:kern w:val="0"/>
                <w:sz w:val="26"/>
                <w:szCs w:val="22"/>
                <w:lang w:val="ru-RU" w:eastAsia="en-US" w:bidi="ar-SA"/>
              </w:rPr>
              <w:t xml:space="preserve"> </w:t>
            </w:r>
            <w:r>
              <w:rPr>
                <w:rFonts w:eastAsia="Calibri" w:cs=""/>
                <w:kern w:val="0"/>
                <w:sz w:val="26"/>
                <w:szCs w:val="22"/>
                <w:lang w:val="ru-RU" w:eastAsia="en-US" w:bidi="ar-SA"/>
              </w:rPr>
              <w:t>руб., без учета НДС.</w:t>
            </w:r>
          </w:p>
          <w:p>
            <w:pPr>
              <w:pStyle w:val="Style29"/>
              <w:widowControl w:val="false"/>
              <w:suppressAutoHyphens w:val="true"/>
              <w:spacing w:before="60" w:after="60"/>
              <w:rPr/>
            </w:pPr>
            <w:r>
              <w:rPr>
                <w:rFonts w:eastAsia="Calibri" w:cs=""/>
                <w:kern w:val="0"/>
                <w:sz w:val="26"/>
                <w:szCs w:val="22"/>
                <w:lang w:val="ru-RU" w:eastAsia="en-US" w:bidi="ar-SA"/>
              </w:rPr>
              <w:t>Сведения о начальной (максимальной) цене единицы продукции, необходимые для применения законодательства о национальном режиме (представлена в форме Коммерческого предложения (форма 3)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29"/>
              <w:widowControl w:val="false"/>
              <w:suppressAutoHyphens w:val="true"/>
              <w:spacing w:before="60" w:after="60"/>
              <w:rPr>
                <w:rStyle w:val="Style11"/>
                <w:i w:val="false"/>
                <w:i w:val="false"/>
                <w:iCs w:val="false"/>
                <w:shd w:fill="auto" w:val="clear"/>
              </w:rPr>
            </w:pPr>
            <w:r>
              <w:rPr>
                <w:rFonts w:eastAsia="Calibri" w:cs=""/>
                <w:kern w:val="0"/>
                <w:sz w:val="26"/>
                <w:szCs w:val="22"/>
                <w:lang w:val="ru-RU" w:eastAsia="en-US" w:bidi="ar-SA"/>
              </w:rPr>
              <w:t xml:space="preserve">Обоснование НМЦ представлено в </w:t>
            </w:r>
            <w:hyperlink w:anchor="Прил09_ОбоснованиеНМЦ">
              <w:r>
                <w:rPr>
                  <w:rStyle w:val="Style14"/>
                  <w:rFonts w:eastAsia="Calibri" w:cs=""/>
                  <w:kern w:val="0"/>
                  <w:sz w:val="26"/>
                  <w:szCs w:val="22"/>
                  <w:lang w:val="ru-RU" w:eastAsia="en-US" w:bidi="ar-SA"/>
                </w:rPr>
                <w:t>Приложении № 9</w:t>
              </w:r>
            </w:hyperlink>
            <w:r>
              <w:rPr>
                <w:rFonts w:eastAsia="Calibri" w:cs=""/>
                <w:kern w:val="0"/>
                <w:sz w:val="26"/>
                <w:szCs w:val="22"/>
                <w:lang w:val="ru-RU" w:eastAsia="en-US" w:bidi="ar-SA"/>
              </w:rPr>
              <w:t>.</w:t>
            </w:r>
          </w:p>
        </w:tc>
      </w:tr>
      <w:tr>
        <w:trPr/>
        <w:tc>
          <w:tcPr>
            <w:tcW w:w="842"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3" w:name="_Ref125363076"/>
            <w:bookmarkStart w:id="34" w:name="_Ref125363076"/>
            <w:bookmarkEnd w:id="34"/>
          </w:p>
        </w:tc>
        <w:tc>
          <w:tcPr>
            <w:tcW w:w="3236"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Обеспечение заявки на участие в закупке:</w:t>
            </w:r>
          </w:p>
        </w:tc>
        <w:tc>
          <w:tcPr>
            <w:tcW w:w="5676" w:type="dxa"/>
            <w:tcBorders/>
          </w:tcPr>
          <w:p>
            <w:pPr>
              <w:pStyle w:val="Style29"/>
              <w:widowControl w:val="false"/>
              <w:suppressAutoHyphens w:val="true"/>
              <w:spacing w:before="60" w:after="60"/>
              <w:rPr>
                <w:rStyle w:val="Style11"/>
                <w:i w:val="false"/>
                <w:i w:val="false"/>
                <w:iCs w:val="false"/>
                <w:shd w:fill="auto" w:val="clear"/>
              </w:rPr>
            </w:pPr>
            <w:r>
              <w:rPr>
                <w:rFonts w:eastAsia="Calibri" w:cs=""/>
                <w:kern w:val="0"/>
                <w:sz w:val="26"/>
                <w:szCs w:val="22"/>
                <w:lang w:val="ru-RU" w:eastAsia="en-US" w:bidi="ar-SA"/>
              </w:rPr>
              <w:t>Не требуется.</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Внимание! Для того, чтобы иметь возможность подать заявку на участие в закупке, в соответствии с Регламентом ЭП на индивидуальный счет Участника, открытом ему Оператором ЭП, должна быть внесена сумма в размере не менее установленной платы, в соответствии с тарифами Оператора ЭП.</w:t>
            </w:r>
          </w:p>
        </w:tc>
      </w:tr>
      <w:tr>
        <w:trPr/>
        <w:tc>
          <w:tcPr>
            <w:tcW w:w="842"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5" w:name="_Ref125362995"/>
            <w:bookmarkStart w:id="36" w:name="_Ref125362995"/>
            <w:bookmarkEnd w:id="36"/>
          </w:p>
        </w:tc>
        <w:tc>
          <w:tcPr>
            <w:tcW w:w="3236"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Требования</w:t>
              <w:br/>
              <w:t>к описанию продукции:</w:t>
            </w:r>
          </w:p>
        </w:tc>
        <w:tc>
          <w:tcPr>
            <w:tcW w:w="5676" w:type="dxa"/>
            <w:tcBorders/>
          </w:tcPr>
          <w:p>
            <w:pPr>
              <w:pStyle w:val="Style29"/>
              <w:widowControl w:val="false"/>
              <w:suppressAutoHyphens w:val="true"/>
              <w:spacing w:before="60" w:after="60"/>
              <w:rPr/>
            </w:pPr>
            <w:r>
              <w:rPr>
                <w:rFonts w:eastAsia="Calibri" w:cs=""/>
                <w:kern w:val="0"/>
                <w:sz w:val="26"/>
                <w:szCs w:val="22"/>
                <w:lang w:val="ru-RU" w:eastAsia="en-US" w:bidi="ar-SA"/>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 указанным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 по установленной форме Технического предложения (форма 4)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tc>
      </w:tr>
      <w:tr>
        <w:trPr/>
        <w:tc>
          <w:tcPr>
            <w:tcW w:w="842"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36"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Применение законодательства о национальном режиме:</w:t>
            </w:r>
          </w:p>
        </w:tc>
        <w:tc>
          <w:tcPr>
            <w:tcW w:w="5676" w:type="dxa"/>
            <w:tcBorders/>
          </w:tcPr>
          <w:p>
            <w:pPr>
              <w:pStyle w:val="Style32"/>
              <w:widowControl w:val="false"/>
              <w:suppressAutoHyphens w:val="true"/>
              <w:spacing w:before="60" w:after="60"/>
              <w:rPr>
                <w:i w:val="false"/>
                <w:i w:val="false"/>
                <w:iCs w:val="false"/>
                <w:sz w:val="30"/>
              </w:rPr>
            </w:pPr>
            <w:r>
              <w:rPr>
                <w:rFonts w:eastAsia="Times New Roman" w:cs=""/>
                <w:i w:val="false"/>
                <w:iCs w:val="false"/>
                <w:kern w:val="0"/>
                <w:sz w:val="26"/>
                <w:szCs w:val="22"/>
                <w:shd w:fill="auto" w:val="clear"/>
                <w:lang w:val="ru-RU" w:eastAsia="ru-RU" w:bidi="ar-SA"/>
              </w:rPr>
              <w:t>национальный режим  не предоставляется (приложение №2 ПП 1875 ограничение иностранной продукции)</w:t>
            </w:r>
            <w:r>
              <w:rPr>
                <w:rFonts w:eastAsia="Calibri" w:cs=""/>
                <w:i w:val="false"/>
                <w:iCs w:val="false"/>
                <w:kern w:val="0"/>
                <w:sz w:val="30"/>
                <w:szCs w:val="22"/>
                <w:shd w:fill="auto" w:val="clear"/>
                <w:lang w:val="ru-RU" w:eastAsia="en-US" w:bidi="ar-SA"/>
              </w:rPr>
              <w:t>.</w:t>
            </w:r>
          </w:p>
        </w:tc>
      </w:tr>
      <w:tr>
        <w:trPr/>
        <w:tc>
          <w:tcPr>
            <w:tcW w:w="842"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7" w:name="_Ref125533737"/>
            <w:bookmarkStart w:id="38" w:name="_Ref125533737"/>
            <w:bookmarkEnd w:id="38"/>
          </w:p>
        </w:tc>
        <w:tc>
          <w:tcPr>
            <w:tcW w:w="3236" w:type="dxa"/>
            <w:tcBorders/>
          </w:tcPr>
          <w:p>
            <w:pPr>
              <w:pStyle w:val="Normal"/>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Возможность подачи альтернативных предложений:</w:t>
            </w:r>
          </w:p>
        </w:tc>
        <w:tc>
          <w:tcPr>
            <w:tcW w:w="567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предусмотрена.</w:t>
            </w:r>
          </w:p>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42"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9" w:name="_Ref125475086"/>
            <w:bookmarkStart w:id="40" w:name="_Ref125475086"/>
            <w:bookmarkEnd w:id="40"/>
          </w:p>
        </w:tc>
        <w:tc>
          <w:tcPr>
            <w:tcW w:w="3236"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и порядок подачи заявок:</w:t>
            </w:r>
          </w:p>
        </w:tc>
        <w:tc>
          <w:tcPr>
            <w:tcW w:w="567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Заявки подаются посредством функционала ЭП, по адресу ЭП, указанному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842"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1" w:name="_Ref125360779"/>
            <w:bookmarkStart w:id="42" w:name="_Ref125360779"/>
            <w:bookmarkEnd w:id="42"/>
          </w:p>
        </w:tc>
        <w:tc>
          <w:tcPr>
            <w:tcW w:w="3236"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начала; дата и время окончания срока подачи заявок:</w:t>
            </w:r>
          </w:p>
        </w:tc>
        <w:tc>
          <w:tcPr>
            <w:tcW w:w="567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начала подачи заявок:</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highlight w:val="yellow"/>
                <w:lang w:val="ru-RU" w:eastAsia="en-US" w:bidi="ar-SA"/>
              </w:rPr>
              <w:t>«05» июня  2026 г.</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и время окончания срока подачи заявок:</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«19</w:t>
            </w:r>
            <w:r>
              <w:rPr>
                <w:rFonts w:eastAsia="Calibri" w:cs=""/>
                <w:kern w:val="0"/>
                <w:sz w:val="26"/>
                <w:szCs w:val="22"/>
                <w:highlight w:val="yellow"/>
                <w:lang w:val="ru-RU" w:eastAsia="en-US" w:bidi="ar-SA"/>
              </w:rPr>
              <w:t>» июня 2026 г. в 12 ч. 00 мин.</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 xml:space="preserve"> </w:t>
            </w:r>
            <w:r>
              <w:rPr>
                <w:rFonts w:eastAsia="Calibri" w:cs=""/>
                <w:kern w:val="0"/>
                <w:sz w:val="26"/>
                <w:szCs w:val="22"/>
                <w:lang w:val="ru-RU" w:eastAsia="en-US" w:bidi="ar-SA"/>
              </w:rPr>
              <w:t>(по московскому времени).</w:t>
            </w:r>
          </w:p>
        </w:tc>
      </w:tr>
      <w:tr>
        <w:trPr/>
        <w:tc>
          <w:tcPr>
            <w:tcW w:w="842"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36"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Срок предоставления Участникам разъяснений Документации о закупке:</w:t>
            </w:r>
          </w:p>
        </w:tc>
        <w:tc>
          <w:tcPr>
            <w:tcW w:w="567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и время окончания срока предоставления разъяснений:</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w:t>
            </w:r>
            <w:r>
              <w:rPr>
                <w:rFonts w:eastAsia="Calibri" w:cs=""/>
                <w:kern w:val="0"/>
                <w:sz w:val="26"/>
                <w:szCs w:val="22"/>
                <w:highlight w:val="yellow"/>
                <w:lang w:val="ru-RU" w:eastAsia="en-US" w:bidi="ar-SA"/>
              </w:rPr>
              <w:t>19» июня  2026 г. в 12 ч. 00 мин.</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 xml:space="preserve"> </w:t>
            </w:r>
            <w:r>
              <w:rPr>
                <w:rFonts w:eastAsia="Calibri" w:cs=""/>
                <w:kern w:val="0"/>
                <w:sz w:val="26"/>
                <w:szCs w:val="22"/>
                <w:lang w:val="ru-RU" w:eastAsia="en-US" w:bidi="ar-SA"/>
              </w:rPr>
              <w:t>(по московскому времени).</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Организатор вправе не предоставлять разъяснение, если запрос от Участника поступил позднее чем за 3 (три) рабочих дня до даты окончания срока подачи заявок, установленной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_Ref125360779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1.2.18</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842"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3" w:name="_Ref125476197"/>
            <w:bookmarkStart w:id="44" w:name="_Ref125476197"/>
            <w:bookmarkEnd w:id="44"/>
          </w:p>
        </w:tc>
        <w:tc>
          <w:tcPr>
            <w:tcW w:w="3236"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открытия</w:t>
              <w:br/>
              <w:t>доступа к заявкам:</w:t>
            </w:r>
          </w:p>
        </w:tc>
        <w:tc>
          <w:tcPr>
            <w:tcW w:w="567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Открытие доступа к заявкам осуществляется автоматически на ЭП, расположенной по адресу согласно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842"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5" w:name="_Ref125362733"/>
            <w:bookmarkStart w:id="46" w:name="_Ref125362733"/>
            <w:bookmarkEnd w:id="46"/>
          </w:p>
        </w:tc>
        <w:tc>
          <w:tcPr>
            <w:tcW w:w="3236"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окончания рассмотрения заявок:</w:t>
            </w:r>
          </w:p>
        </w:tc>
        <w:tc>
          <w:tcPr>
            <w:tcW w:w="5676" w:type="dxa"/>
            <w:tcBorders/>
          </w:tcPr>
          <w:p>
            <w:pPr>
              <w:pStyle w:val="Style29"/>
              <w:widowControl w:val="false"/>
              <w:suppressAutoHyphens w:val="true"/>
              <w:spacing w:before="60" w:after="60"/>
              <w:rPr>
                <w:rFonts w:ascii="Times New Roman" w:hAnsi="Times New Roman" w:eastAsia="Calibri" w:cs=""/>
                <w:kern w:val="0"/>
                <w:sz w:val="26"/>
                <w:szCs w:val="22"/>
                <w:lang w:eastAsia="en-US" w:bidi="ar-SA"/>
              </w:rPr>
            </w:pPr>
            <w:r>
              <w:rPr>
                <w:rFonts w:eastAsia="Calibri" w:cs=""/>
                <w:kern w:val="0"/>
                <w:sz w:val="26"/>
                <w:szCs w:val="22"/>
                <w:lang w:val="ru-RU" w:eastAsia="en-US" w:bidi="ar-SA"/>
              </w:rPr>
              <w:t>«03</w:t>
            </w:r>
            <w:r>
              <w:rPr>
                <w:rFonts w:eastAsia="Calibri" w:cs=""/>
                <w:kern w:val="0"/>
                <w:sz w:val="26"/>
                <w:szCs w:val="22"/>
                <w:highlight w:val="yellow"/>
                <w:lang w:val="ru-RU" w:eastAsia="en-US" w:bidi="ar-SA"/>
              </w:rPr>
              <w:t xml:space="preserve">» </w:t>
            </w:r>
            <w:r>
              <w:rPr>
                <w:rFonts w:eastAsia="Calibri" w:cs=""/>
                <w:kern w:val="0"/>
                <w:sz w:val="26"/>
                <w:szCs w:val="22"/>
                <w:highlight w:val="yellow"/>
                <w:lang w:val="en-US" w:eastAsia="en-US" w:bidi="ar-SA"/>
              </w:rPr>
              <w:t xml:space="preserve">июля </w:t>
            </w:r>
            <w:r>
              <w:rPr>
                <w:rFonts w:eastAsia="Calibri" w:cs=""/>
                <w:kern w:val="0"/>
                <w:sz w:val="26"/>
                <w:szCs w:val="22"/>
                <w:highlight w:val="yellow"/>
                <w:lang w:val="ru-RU" w:eastAsia="en-US" w:bidi="ar-SA"/>
              </w:rPr>
              <w:t>2026 г.</w:t>
            </w:r>
          </w:p>
          <w:p>
            <w:pPr>
              <w:pStyle w:val="Style29"/>
              <w:widowControl w:val="false"/>
              <w:suppressAutoHyphens w:val="true"/>
              <w:spacing w:before="60" w:after="60"/>
              <w:rPr>
                <w:rStyle w:val="Style11"/>
              </w:rPr>
            </w:pPr>
            <w:r>
              <w:rPr/>
            </w:r>
          </w:p>
        </w:tc>
      </w:tr>
      <w:tr>
        <w:trPr/>
        <w:tc>
          <w:tcPr>
            <w:tcW w:w="842"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7" w:name="_Ref125362757"/>
            <w:bookmarkStart w:id="48" w:name="_Ref125362757"/>
            <w:bookmarkEnd w:id="48"/>
          </w:p>
        </w:tc>
        <w:tc>
          <w:tcPr>
            <w:tcW w:w="3236"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подведения</w:t>
              <w:br/>
              <w:t>итогов закупки:</w:t>
            </w:r>
          </w:p>
        </w:tc>
        <w:tc>
          <w:tcPr>
            <w:tcW w:w="567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w:t>
            </w:r>
            <w:bookmarkStart w:id="49" w:name="_GoBack"/>
            <w:bookmarkEnd w:id="49"/>
            <w:r>
              <w:rPr>
                <w:rFonts w:eastAsia="Calibri" w:cs=""/>
                <w:kern w:val="0"/>
                <w:sz w:val="26"/>
                <w:szCs w:val="22"/>
                <w:lang w:val="ru-RU" w:eastAsia="en-US" w:bidi="ar-SA"/>
              </w:rPr>
              <w:t>03</w:t>
            </w:r>
            <w:r>
              <w:rPr>
                <w:rFonts w:eastAsia="Calibri" w:cs=""/>
                <w:kern w:val="0"/>
                <w:sz w:val="26"/>
                <w:szCs w:val="22"/>
                <w:highlight w:val="yellow"/>
                <w:lang w:val="ru-RU" w:eastAsia="en-US" w:bidi="ar-SA"/>
              </w:rPr>
              <w:t>» июля 2026 г</w:t>
            </w:r>
            <w:r>
              <w:rPr>
                <w:rFonts w:eastAsia="Calibri" w:cs=""/>
                <w:kern w:val="0"/>
                <w:sz w:val="26"/>
                <w:szCs w:val="22"/>
                <w:lang w:val="ru-RU" w:eastAsia="en-US" w:bidi="ar-SA"/>
              </w:rPr>
              <w:t>.</w:t>
            </w:r>
          </w:p>
          <w:p>
            <w:pPr>
              <w:pStyle w:val="Style29"/>
              <w:widowControl w:val="false"/>
              <w:suppressAutoHyphens w:val="true"/>
              <w:spacing w:before="60" w:after="60"/>
              <w:rPr>
                <w:rStyle w:val="Style11"/>
              </w:rPr>
            </w:pPr>
            <w:r>
              <w:rPr/>
            </w:r>
          </w:p>
        </w:tc>
      </w:tr>
      <w:tr>
        <w:trPr/>
        <w:tc>
          <w:tcPr>
            <w:tcW w:w="842"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0" w:name="_Ref125361769"/>
            <w:bookmarkStart w:id="51" w:name="_Ref125361769"/>
            <w:bookmarkEnd w:id="51"/>
          </w:p>
        </w:tc>
        <w:tc>
          <w:tcPr>
            <w:tcW w:w="3236"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Рассмотрение, оценка и сопоставление заявок Участников с учетом привлекаемых субподрядчиков:</w:t>
            </w:r>
          </w:p>
        </w:tc>
        <w:tc>
          <w:tcPr>
            <w:tcW w:w="5676"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предусмотрено.</w:t>
            </w:r>
          </w:p>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42"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36"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Порядок подведения</w:t>
              <w:br/>
              <w:t>итогов закупки:</w:t>
            </w:r>
          </w:p>
        </w:tc>
        <w:tc>
          <w:tcPr>
            <w:tcW w:w="567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Победителем закупки признается Участник, заявка которого 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w:t>
            </w:r>
          </w:p>
        </w:tc>
      </w:tr>
      <w:tr>
        <w:trPr/>
        <w:tc>
          <w:tcPr>
            <w:tcW w:w="842"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2" w:name="_Ref125366606"/>
            <w:bookmarkStart w:id="53" w:name="_Ref125366606"/>
            <w:bookmarkEnd w:id="53"/>
          </w:p>
        </w:tc>
        <w:tc>
          <w:tcPr>
            <w:tcW w:w="3236"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Количество победителей закупки (в рамках одного лота):</w:t>
            </w:r>
          </w:p>
        </w:tc>
        <w:tc>
          <w:tcPr>
            <w:tcW w:w="5676"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Один победитель.</w:t>
            </w:r>
          </w:p>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42"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4" w:name="_Ref125533374"/>
            <w:bookmarkStart w:id="55" w:name="_Ref125533374"/>
            <w:bookmarkEnd w:id="55"/>
          </w:p>
        </w:tc>
        <w:tc>
          <w:tcPr>
            <w:tcW w:w="3236"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Форма заключения Договора:</w:t>
            </w:r>
          </w:p>
        </w:tc>
        <w:tc>
          <w:tcPr>
            <w:tcW w:w="567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бумажной или электронной форме (подробный порядок заключения Договора содержится в 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_Ref126142429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Если договор будет заключаться в электронной форме посредством информационной системы электронного документооборота СКБ Контур (Диадок), то Победителю будет необходимо заключить соглашение с оператором информационной системы электронного документооборота, посредством которой Победитель будет осуществлять обмен договорными документами в электронной форме. Для заключения договора необходимо наличие у Победителя усиленной квалифицированной электронной подписи, выданной аккредитованным удостоверяющим центром. Победителю будет необходимо принять приглашение о переходе на электронный юридически значимый документооборот посредством акцепта полученного от используемой Заказчиком системы электронного документооборота соответствующего соглашения, направленного Заказчиком.</w:t>
            </w:r>
          </w:p>
        </w:tc>
      </w:tr>
      <w:tr>
        <w:trPr/>
        <w:tc>
          <w:tcPr>
            <w:tcW w:w="842"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6" w:name="_Ref125366813"/>
            <w:bookmarkStart w:id="57" w:name="_Ref125366813"/>
            <w:bookmarkEnd w:id="57"/>
          </w:p>
        </w:tc>
        <w:tc>
          <w:tcPr>
            <w:tcW w:w="3236"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подачи документов в отношении цепочки собственников, включая конечных бенефициаров:</w:t>
            </w:r>
          </w:p>
        </w:tc>
        <w:tc>
          <w:tcPr>
            <w:tcW w:w="5676" w:type="dxa"/>
            <w:tcBorders/>
          </w:tcPr>
          <w:p>
            <w:pPr>
              <w:pStyle w:val="Normal"/>
              <w:widowControl w:val="false"/>
              <w:suppressAutoHyphens w:val="true"/>
              <w:spacing w:before="60" w:after="120"/>
              <w:jc w:val="both"/>
              <w:rPr>
                <w:rFonts w:eastAsia="Times New Roman" w:cs="Times New Roman"/>
                <w:szCs w:val="26"/>
                <w:lang w:eastAsia="ru-RU"/>
              </w:rPr>
            </w:pPr>
            <w:r>
              <w:rPr>
                <w:rFonts w:eastAsia="Times New Roman" w:cs="Times New Roman"/>
                <w:kern w:val="0"/>
                <w:sz w:val="26"/>
                <w:szCs w:val="26"/>
                <w:lang w:val="ru-RU" w:eastAsia="ru-RU" w:bidi="ar-SA"/>
              </w:rPr>
              <w:t>Филиал ПАО «РусГидро» - «Кабардино-Балкарский филиал».</w:t>
            </w:r>
          </w:p>
          <w:p>
            <w:pPr>
              <w:pStyle w:val="Normal"/>
              <w:widowControl w:val="false"/>
              <w:suppressAutoHyphens w:val="true"/>
              <w:spacing w:before="60" w:after="120"/>
              <w:jc w:val="both"/>
              <w:rPr>
                <w:rFonts w:eastAsia="Times New Roman" w:cs="Times New Roman"/>
                <w:szCs w:val="26"/>
                <w:lang w:eastAsia="ru-RU"/>
              </w:rPr>
            </w:pPr>
            <w:r>
              <w:rPr>
                <w:rFonts w:eastAsia="Times New Roman" w:cs="Times New Roman"/>
                <w:kern w:val="0"/>
                <w:sz w:val="26"/>
                <w:szCs w:val="26"/>
                <w:lang w:val="ru-RU" w:eastAsia="ru-RU" w:bidi="ar-SA"/>
              </w:rPr>
              <w:t>Почтовый адрес: 360024, г. Нальчик, а/я 9.</w:t>
            </w:r>
          </w:p>
          <w:p>
            <w:pPr>
              <w:pStyle w:val="Style29"/>
              <w:widowControl w:val="false"/>
              <w:suppressAutoHyphens w:val="true"/>
              <w:spacing w:before="60" w:after="60"/>
              <w:rPr>
                <w:rFonts w:ascii="Times New Roman" w:hAnsi="Times New Roman"/>
                <w:kern w:val="0"/>
                <w:lang w:val="ru-RU" w:bidi="ar-SA"/>
              </w:rPr>
            </w:pPr>
            <w:r>
              <w:rPr>
                <w:rFonts w:eastAsia="Times New Roman" w:cs="Times New Roman"/>
                <w:kern w:val="0"/>
                <w:sz w:val="26"/>
                <w:szCs w:val="26"/>
                <w:lang w:val="ru-RU" w:eastAsia="ru-RU" w:bidi="ar-SA"/>
              </w:rPr>
              <w:t xml:space="preserve">Контактное лицо для приема документов: </w:t>
            </w:r>
            <w:r>
              <w:rPr>
                <w:rFonts w:eastAsia="Calibri" w:cs=""/>
                <w:kern w:val="0"/>
                <w:sz w:val="24"/>
                <w:szCs w:val="24"/>
                <w:lang w:val="ru-RU" w:eastAsia="en-US" w:bidi="ar-SA"/>
              </w:rPr>
              <w:t>Толгуров Бекмурза Ануарович.</w:t>
            </w:r>
          </w:p>
        </w:tc>
      </w:tr>
      <w:tr>
        <w:trPr/>
        <w:tc>
          <w:tcPr>
            <w:tcW w:w="842"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8" w:name="_Ref125368490"/>
            <w:bookmarkStart w:id="59" w:name="_Ref125368490"/>
            <w:bookmarkEnd w:id="59"/>
          </w:p>
        </w:tc>
        <w:tc>
          <w:tcPr>
            <w:tcW w:w="3236"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Некритичные пункты Проекта договора:</w:t>
            </w:r>
          </w:p>
        </w:tc>
        <w:tc>
          <w:tcPr>
            <w:tcW w:w="5676"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Отсутствуют.</w:t>
            </w:r>
          </w:p>
          <w:p>
            <w:pPr>
              <w:pStyle w:val="Style29"/>
              <w:widowControl w:val="false"/>
              <w:suppressAutoHyphens w:val="true"/>
              <w:spacing w:before="60" w:after="60"/>
              <w:rPr/>
            </w:pPr>
            <w:r>
              <w:rPr>
                <w:rFonts w:eastAsia="Calibri" w:cs=""/>
                <w:kern w:val="0"/>
                <w:sz w:val="26"/>
                <w:szCs w:val="22"/>
                <w:lang w:val="ru-RU" w:eastAsia="en-US" w:bidi="ar-SA"/>
              </w:rPr>
              <w:t xml:space="preserve">Внимание! Корректировка пунктов Проекта договора, не указанных в настоящем разделе, не допускается. Договор заключается в редакции </w:t>
            </w:r>
            <w:hyperlink w:anchor="Прил02_ПроектДоговора">
              <w:r>
                <w:rPr>
                  <w:rStyle w:val="Style14"/>
                  <w:rFonts w:eastAsia="Calibri" w:cs=""/>
                  <w:kern w:val="0"/>
                  <w:sz w:val="26"/>
                  <w:szCs w:val="22"/>
                  <w:lang w:val="ru-RU" w:eastAsia="en-US" w:bidi="ar-SA"/>
                </w:rPr>
                <w:t>Приложения № 2</w:t>
              </w:r>
            </w:hyperlink>
            <w:r>
              <w:rPr>
                <w:rFonts w:eastAsia="Calibri" w:cs=""/>
                <w:kern w:val="0"/>
                <w:sz w:val="26"/>
                <w:szCs w:val="22"/>
                <w:lang w:val="ru-RU" w:eastAsia="en-US" w:bidi="ar-SA"/>
              </w:rPr>
              <w:t>.</w:t>
            </w:r>
          </w:p>
        </w:tc>
      </w:tr>
      <w:tr>
        <w:trPr/>
        <w:tc>
          <w:tcPr>
            <w:tcW w:w="842"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36"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Обеспечение</w:t>
              <w:br/>
              <w:t>исполнения Договора:</w:t>
            </w:r>
          </w:p>
        </w:tc>
        <w:tc>
          <w:tcPr>
            <w:tcW w:w="5676"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требуется.</w:t>
            </w:r>
          </w:p>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42"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36" w:type="dxa"/>
            <w:tcBorders>
              <w:top w:val="single" w:sz="4" w:space="0" w:color="000001"/>
              <w:left w:val="single" w:sz="4" w:space="0" w:color="000001"/>
              <w:bottom w:val="single" w:sz="4" w:space="0" w:color="000001"/>
              <w:right w:val="single" w:sz="4" w:space="0" w:color="000001"/>
            </w:tcBorders>
            <w:shd w:color="auto" w:fill="auto" w:val="clear"/>
          </w:tcPr>
          <w:p>
            <w:pPr>
              <w:pStyle w:val="Style29"/>
              <w:widowControl w:val="false"/>
              <w:suppressAutoHyphens w:val="true"/>
              <w:spacing w:before="60" w:after="60"/>
              <w:jc w:val="left"/>
              <w:rPr>
                <w:rFonts w:ascii="Times New Roman" w:hAnsi="Times New Roman" w:eastAsia="Calibri" w:cs=""/>
                <w:kern w:val="0"/>
                <w:sz w:val="26"/>
                <w:lang w:val="ru-RU" w:eastAsia="en-US" w:bidi="ar-SA"/>
              </w:rPr>
            </w:pPr>
            <w:r>
              <w:rPr>
                <w:rFonts w:eastAsia="Calibri" w:cs=""/>
                <w:kern w:val="0"/>
                <w:sz w:val="26"/>
                <w:szCs w:val="26"/>
                <w:lang w:val="ru-RU" w:eastAsia="en-US" w:bidi="ar-SA"/>
              </w:rPr>
              <w:t>Проведение переторжки</w:t>
            </w:r>
          </w:p>
        </w:tc>
        <w:tc>
          <w:tcPr>
            <w:tcW w:w="5676" w:type="dxa"/>
            <w:tcBorders>
              <w:top w:val="single" w:sz="4" w:space="0" w:color="000001"/>
              <w:left w:val="single" w:sz="4" w:space="0" w:color="000001"/>
              <w:bottom w:val="single" w:sz="4" w:space="0" w:color="000001"/>
              <w:right w:val="single" w:sz="4" w:space="0" w:color="000001"/>
            </w:tcBorders>
            <w:shd w:color="auto" w:fill="auto" w:val="clear"/>
          </w:tcPr>
          <w:p>
            <w:pPr>
              <w:pStyle w:val="Style32"/>
              <w:widowControl w:val="false"/>
              <w:suppressAutoHyphens w:val="true"/>
              <w:spacing w:before="60" w:after="60"/>
              <w:rPr>
                <w:lang w:val="en-US"/>
              </w:rPr>
            </w:pPr>
            <w:r>
              <w:rPr>
                <w:rFonts w:eastAsia="Calibri" w:cs=""/>
                <w:i w:val="false"/>
                <w:kern w:val="0"/>
                <w:sz w:val="26"/>
                <w:szCs w:val="22"/>
                <w:shd w:fill="auto" w:val="clear"/>
                <w:lang w:val="ru-RU" w:eastAsia="en-US" w:bidi="ar-SA"/>
              </w:rPr>
              <w:t>Не предусмотрено</w:t>
            </w:r>
            <w:r>
              <w:rPr>
                <w:rFonts w:eastAsia="Calibri" w:cs=""/>
                <w:i w:val="false"/>
                <w:kern w:val="0"/>
                <w:sz w:val="26"/>
                <w:szCs w:val="22"/>
                <w:shd w:fill="auto" w:val="clear"/>
                <w:lang w:val="en-US" w:eastAsia="en-US" w:bidi="ar-SA"/>
              </w:rPr>
              <w:t>.</w:t>
            </w:r>
          </w:p>
        </w:tc>
      </w:tr>
    </w:tbl>
    <w:p>
      <w:pPr>
        <w:pStyle w:val="Style23"/>
        <w:rPr/>
      </w:pPr>
      <w:bookmarkStart w:id="60" w:name="_Ref125360073"/>
      <w:bookmarkStart w:id="61" w:name="_Ref125360337"/>
      <w:bookmarkStart w:id="62" w:name="_Toc220500973"/>
      <w:r>
        <w:rPr/>
        <w:t>Общие положения</w:t>
      </w:r>
      <w:bookmarkEnd w:id="60"/>
      <w:bookmarkEnd w:id="61"/>
      <w:bookmarkEnd w:id="62"/>
    </w:p>
    <w:p>
      <w:pPr>
        <w:pStyle w:val="Style24"/>
        <w:rPr/>
      </w:pPr>
      <w:bookmarkStart w:id="63" w:name="_Toc220500974"/>
      <w:r>
        <w:rPr/>
        <w:t>Общие сведения о закупке</w:t>
      </w:r>
      <w:bookmarkEnd w:id="63"/>
    </w:p>
    <w:p>
      <w:pPr>
        <w:pStyle w:val="Style25"/>
        <w:rPr/>
      </w:pPr>
      <w:r>
        <w:rPr/>
        <w:t>Организатор официально размещенным Извещением приглашает лиц, указанных в подразделе </w:t>
      </w:r>
      <w:r>
        <w:rPr/>
        <w:fldChar w:fldCharType="begin"/>
      </w:r>
      <w:r>
        <w:rPr/>
        <w:instrText xml:space="preserve"> REF _Ref125359973 \r \h </w:instrText>
      </w:r>
      <w:r>
        <w:rPr/>
        <w:fldChar w:fldCharType="separate"/>
      </w:r>
      <w:r>
        <w:rPr/>
        <w:t>1.2</w:t>
      </w:r>
      <w:r>
        <w:rPr/>
        <w:fldChar w:fldCharType="end"/>
      </w:r>
      <w:r>
        <w:rPr/>
        <w:t>, к участию в закупке на право заключения договора, предмет которого указан в том же подразделе.</w:t>
      </w:r>
    </w:p>
    <w:p>
      <w:pPr>
        <w:pStyle w:val="Style25"/>
        <w:rPr/>
      </w:pPr>
      <w:r>
        <w:rPr/>
        <w:t>Требования к Участникам, а также к документам, подтверждающим соответствие установленным требованиям, приведены в разделе </w:t>
      </w:r>
      <w:r>
        <w:rPr/>
        <w:fldChar w:fldCharType="begin"/>
      </w:r>
      <w:r>
        <w:rPr/>
        <w:instrText xml:space="preserve"> REF _Ref125361210 \r \h </w:instrText>
      </w:r>
      <w:r>
        <w:rPr/>
        <w:fldChar w:fldCharType="separate"/>
      </w:r>
      <w:r>
        <w:rPr/>
        <w:t>3</w:t>
      </w:r>
      <w:r>
        <w:rPr/>
        <w:fldChar w:fldCharType="end"/>
      </w:r>
      <w:r>
        <w:rPr/>
        <w:t xml:space="preserve"> Документации о закупке.</w:t>
      </w:r>
    </w:p>
    <w:p>
      <w:pPr>
        <w:pStyle w:val="Style25"/>
        <w:rPr/>
      </w:pPr>
      <w:r>
        <w:rPr/>
        <w:t xml:space="preserve">Требования к поставляемой продукции, включая срок, объем и место поставки продукции, изложены в </w:t>
      </w:r>
      <w:hyperlink w:anchor="Прил01_ТехТребования">
        <w:r>
          <w:rPr>
            <w:rStyle w:val="Style14"/>
          </w:rPr>
          <w:t>Технических требованиях (Приложение № 1)</w:t>
        </w:r>
      </w:hyperlink>
      <w:r>
        <w:rPr/>
        <w:t xml:space="preserve">. </w:t>
      </w:r>
      <w:hyperlink w:anchor="Прил02_ПроектДоговора">
        <w:r>
          <w:rPr>
            <w:rStyle w:val="Style14"/>
          </w:rPr>
          <w:t>Проект договора</w:t>
        </w:r>
      </w:hyperlink>
      <w:r>
        <w:rPr/>
        <w:t>, который планируется заключить по результатам закупки, в том числе содержащий условия по форме, срокам и порядку оплаты, приведен в </w:t>
      </w:r>
      <w:hyperlink w:anchor="Прил02_ПроектДоговора">
        <w:r>
          <w:rPr>
            <w:rStyle w:val="Style14"/>
          </w:rPr>
          <w:t>Приложении № 2</w:t>
        </w:r>
      </w:hyperlink>
      <w:r>
        <w:rPr/>
        <w:t>.</w:t>
      </w:r>
    </w:p>
    <w:p>
      <w:pPr>
        <w:pStyle w:val="Style25"/>
        <w:rPr/>
      </w:pPr>
      <w:r>
        <w:rPr/>
        <w:t>Подробная информация о порядке проведения закупки и участия в ней, а также о порядке заключения Договора, приведены в разделах </w:t>
      </w:r>
      <w:r>
        <w:rPr/>
        <w:fldChar w:fldCharType="begin"/>
      </w:r>
      <w:r>
        <w:rPr/>
        <w:instrText xml:space="preserve"> REF _Ref125361211 \r \h </w:instrText>
      </w:r>
      <w:r>
        <w:rPr/>
        <w:fldChar w:fldCharType="separate"/>
      </w:r>
      <w:r>
        <w:rPr/>
        <w:t>4</w:t>
      </w:r>
      <w:r>
        <w:rPr/>
        <w:fldChar w:fldCharType="end"/>
      </w:r>
      <w:r>
        <w:rPr/>
        <w:t xml:space="preserve">, </w:t>
      </w:r>
      <w:r>
        <w:rPr/>
        <w:fldChar w:fldCharType="begin"/>
      </w:r>
      <w:r>
        <w:rPr/>
        <w:instrText xml:space="preserve"> REF _Ref126142429 \r \h </w:instrText>
      </w:r>
      <w:r>
        <w:rPr/>
        <w:fldChar w:fldCharType="separate"/>
      </w:r>
      <w:r>
        <w:rPr/>
        <w:t>5</w:t>
      </w:r>
      <w:r>
        <w:rPr/>
        <w:fldChar w:fldCharType="end"/>
      </w:r>
      <w:r>
        <w:rPr/>
        <w:t xml:space="preserve">, образцы основных форм документов, включаемых в заявку или предоставляемых Победителем, приведены в Приложениях </w:t>
      </w:r>
      <w:hyperlink w:anchor="Прил04_ФормыЗаявки">
        <w:r>
          <w:rPr>
            <w:rStyle w:val="Style14"/>
          </w:rPr>
          <w:t>№ 4</w:t>
        </w:r>
      </w:hyperlink>
      <w:r>
        <w:rPr/>
        <w:t xml:space="preserve">, </w:t>
      </w:r>
      <w:hyperlink w:anchor="Прил05_ФормыПобедителя">
        <w:r>
          <w:rPr>
            <w:rStyle w:val="Style14"/>
          </w:rPr>
          <w:t>№ 5</w:t>
        </w:r>
      </w:hyperlink>
      <w:r>
        <w:rPr/>
        <w:t>.</w:t>
      </w:r>
    </w:p>
    <w:p>
      <w:pPr>
        <w:pStyle w:val="Style24"/>
        <w:rPr/>
      </w:pPr>
      <w:bookmarkStart w:id="64" w:name="_Toc220500975"/>
      <w:r>
        <w:rPr/>
        <w:t>Правовой статус документов</w:t>
      </w:r>
      <w:bookmarkEnd w:id="64"/>
    </w:p>
    <w:p>
      <w:pPr>
        <w:pStyle w:val="Style25"/>
        <w:rPr/>
      </w:pPr>
      <w:r>
        <w:rPr/>
        <w:t>Состязательный отбор не является конкурентной процедурой в соответствии с действующим законодательством.</w:t>
      </w:r>
    </w:p>
    <w:p>
      <w:pPr>
        <w:pStyle w:val="Style25"/>
        <w:rPr/>
      </w:pPr>
      <w:r>
        <w:rPr/>
        <w:t>Документация о закупке вместе с Извещением, являющимся ее неотъемлемой частью, являются приглашением Организатора делать оферты и должны рассматриваться Участниками в соответствии с этим. При наличии противоречий между положениями Извещения и Документации о закупке применяются положения Извещения.</w:t>
      </w:r>
    </w:p>
    <w:p>
      <w:pPr>
        <w:pStyle w:val="Style25"/>
        <w:rPr/>
      </w:pPr>
      <w:r>
        <w:rPr/>
        <w:t>Заявка Участника имеет правовой статус оферты и будет рассматриваться Организатором в течение указанного в ней срока ее действия.</w:t>
      </w:r>
    </w:p>
    <w:p>
      <w:pPr>
        <w:pStyle w:val="Style25"/>
        <w:keepNext w:val="true"/>
        <w:rPr/>
      </w:pPr>
      <w:bookmarkStart w:id="65" w:name="_Ref125366985"/>
      <w:r>
        <w:rPr/>
        <w:t>При определении условий Договора по результатам закупки используется иерархия документов, установленная в пункте </w:t>
      </w:r>
      <w:r>
        <w:rPr/>
        <w:fldChar w:fldCharType="begin"/>
      </w:r>
      <w:r>
        <w:rPr/>
        <w:instrText xml:space="preserve"> REF _Ref132288402 \r \h </w:instrText>
      </w:r>
      <w:r>
        <w:rPr/>
        <w:fldChar w:fldCharType="separate"/>
      </w:r>
      <w:r>
        <w:rPr/>
        <w:t>5.2.8</w:t>
      </w:r>
      <w:r>
        <w:rPr/>
        <w:fldChar w:fldCharType="end"/>
      </w:r>
      <w:bookmarkEnd w:id="65"/>
      <w:r>
        <w:rPr/>
        <w:t>.</w:t>
      </w:r>
    </w:p>
    <w:p>
      <w:pPr>
        <w:pStyle w:val="Style25"/>
        <w:rPr/>
      </w:pPr>
      <w:r>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pPr>
        <w:pStyle w:val="Style25"/>
        <w:rPr/>
      </w:pPr>
      <w:r>
        <w:rPr/>
        <w:t>Во всем, что не урегулировано Извещением и Документацией о закупке, стороны руководствуются Положением о закупке (в редакции, действующей на дату официального размещения Извещения).</w:t>
      </w:r>
    </w:p>
    <w:p>
      <w:pPr>
        <w:pStyle w:val="Style25"/>
        <w:rPr/>
      </w:pPr>
      <w:r>
        <w:rPr/>
        <w:t>Если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 диспозитивным нормам указанных документов.</w:t>
      </w:r>
    </w:p>
    <w:p>
      <w:pPr>
        <w:pStyle w:val="Style25"/>
        <w:rPr/>
      </w:pPr>
      <w:r>
        <w:rPr/>
        <w:t>Иные документы Организатора и Участников не определяют права и обязанности сторон в связи с данной закупкой.</w:t>
      </w:r>
    </w:p>
    <w:p>
      <w:pPr>
        <w:pStyle w:val="Style25"/>
        <w:rPr/>
      </w:pPr>
      <w:r>
        <w:rPr/>
        <w:t>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w:t>
      </w:r>
    </w:p>
    <w:p>
      <w:pPr>
        <w:pStyle w:val="Style24"/>
        <w:rPr/>
      </w:pPr>
      <w:bookmarkStart w:id="66" w:name="_Toc220500976"/>
      <w:bookmarkStart w:id="67" w:name="_Ref125363536"/>
      <w:r>
        <w:rPr/>
        <w:t>Обжалование</w:t>
      </w:r>
      <w:bookmarkEnd w:id="66"/>
      <w:bookmarkEnd w:id="67"/>
    </w:p>
    <w:p>
      <w:pPr>
        <w:pStyle w:val="Style25"/>
        <w:rPr/>
      </w:pPr>
      <w:r>
        <w:rPr/>
        <w:t>Любой Участник, который заявляет, что понес или может понести убытки в результате нарушения его прав Заказчиком и (или) Организатором, отдельными членами Закупочной комиссии или Оператором ЭП, имеет право подать заявление о рассмотрении разногласий, связанных с проведением закупки.</w:t>
      </w:r>
    </w:p>
    <w:p>
      <w:pPr>
        <w:pStyle w:val="Style25"/>
        <w:rPr/>
      </w:pPr>
      <w:r>
        <w:rPr/>
        <w:t>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 «РусГидро» (вкладка «Линия доверия»), или сообщения информации по 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pPr>
        <w:pStyle w:val="Style25"/>
        <w:keepNext w:val="true"/>
        <w:rPr/>
      </w:pPr>
      <w:r>
        <w:rPr/>
        <w:t>Если разногласия не разрешены по взаимному согласию представившего их Участника и Заказчика, может быть принято одно из следующих решений:</w:t>
      </w:r>
    </w:p>
    <w:p>
      <w:pPr>
        <w:pStyle w:val="Style26"/>
        <w:rPr/>
      </w:pPr>
      <w:r>
        <w:rPr/>
        <w:t>обязать Заказчика, Организатора,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 (в том числе, но не ограничиваясь, отменить составленные в ходе закупки протоколы, повторно рассмотреть заявки Участников);</w:t>
      </w:r>
    </w:p>
    <w:p>
      <w:pPr>
        <w:pStyle w:val="Style26"/>
        <w:rPr/>
      </w:pPr>
      <w:r>
        <w:rPr/>
        <w:t>признать заявление Участника необоснованным.</w:t>
      </w:r>
    </w:p>
    <w:p>
      <w:pPr>
        <w:pStyle w:val="Style25"/>
        <w:rPr/>
      </w:pPr>
      <w:r>
        <w:rPr/>
        <w:t>Участник вправе обжаловать действия (бездействие) Заказчика и (или) Организатора, Закупочной комиссии, Оператора ЭП при проведении настоящей закупки в антимонопольном органе в порядке, установленном законодательством, с учетом того, что настоящая закупка не является торгами. Если обжалуемые действия (бездействие) совершены после окончания установленного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обжалование таких действий (бездействия) может осуществляться только Участником, подавшим заявку на участие в такой закупке.</w:t>
      </w:r>
    </w:p>
    <w:p>
      <w:pPr>
        <w:pStyle w:val="Style25"/>
        <w:rPr/>
      </w:pPr>
      <w:r>
        <w:rPr/>
        <w:t>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на «Линию доверия» и (или) антимонопольные органы, подлежат разрешению следующим образом:</w:t>
      </w:r>
    </w:p>
    <w:p>
      <w:pPr>
        <w:pStyle w:val="Style26"/>
        <w:rPr/>
      </w:pPr>
      <w:r>
        <w:rPr/>
        <w:t>по закупкам, проводимым закупочными комиссиями 1-го уровня – в Арбитражном суде по месту нахождения Заказчика (либо соответствующего филиала Заказчика, для нужд которого проводится настоящая закупка);</w:t>
      </w:r>
    </w:p>
    <w:p>
      <w:pPr>
        <w:pStyle w:val="Style26"/>
        <w:rPr/>
      </w:pPr>
      <w:r>
        <w:rPr/>
        <w:t>по закупкам, проводимым закупочными комиссиями 2-го уровня, специальными закупочными комиссиями, закупочными комиссиями исполнительного аппарата ПАО «РусГидро» – в Арбитражном суде г. Москвы.</w:t>
      </w:r>
    </w:p>
    <w:p>
      <w:pPr>
        <w:pStyle w:val="Style29"/>
        <w:ind w:left="1134" w:hanging="0"/>
        <w:rPr/>
      </w:pPr>
      <w:r>
        <w:rPr/>
        <w:t>Закупочная комиссия определяется в соответствии с Положением о закупке.</w:t>
      </w:r>
    </w:p>
    <w:p>
      <w:pPr>
        <w:pStyle w:val="Style24"/>
        <w:rPr/>
      </w:pPr>
      <w:bookmarkStart w:id="68" w:name="_Toc220500977"/>
      <w:bookmarkStart w:id="69" w:name="_Ref125472658"/>
      <w:r>
        <w:rPr/>
        <w:t>Особые положения при проведении закупки с использованием ЭП</w:t>
      </w:r>
      <w:bookmarkEnd w:id="68"/>
      <w:bookmarkEnd w:id="69"/>
    </w:p>
    <w:p>
      <w:pPr>
        <w:pStyle w:val="Style25"/>
        <w:rPr/>
      </w:pPr>
      <w:r>
        <w:rPr/>
        <w:t>Наименование ЭП, посредством которой проводится закупка, указано в подразделе </w:t>
      </w:r>
      <w:r>
        <w:rPr/>
        <w:fldChar w:fldCharType="begin"/>
      </w:r>
      <w:r>
        <w:rPr/>
        <w:instrText xml:space="preserve"> REF _Ref125359973 \r \h </w:instrText>
      </w:r>
      <w:r>
        <w:rPr/>
        <w:fldChar w:fldCharType="separate"/>
      </w:r>
      <w:r>
        <w:rPr/>
        <w:t>1.2</w:t>
      </w:r>
      <w:r>
        <w:rPr/>
        <w:fldChar w:fldCharType="end"/>
      </w:r>
      <w:r>
        <w:rPr/>
        <w:t>. До подачи заявки Участник обязан ознакомиться с Регламентом ЭП, опубликованными на сайте соответствующей ЭП.</w:t>
      </w:r>
    </w:p>
    <w:p>
      <w:pPr>
        <w:pStyle w:val="Style25"/>
        <w:rPr/>
      </w:pPr>
      <w:r>
        <w:rPr/>
        <w:t>Для участия в закупке Участник должен пройти процедуру регистрации на ЭП. Регистрация осуществляется Оператором ЭП, и Организатор (Заказчик) не несет ответственности за результат ее прохождения Участником, в том числе понесенные им затраты.</w:t>
      </w:r>
    </w:p>
    <w:p>
      <w:pPr>
        <w:pStyle w:val="Style25"/>
        <w:rPr/>
      </w:pPr>
      <w:bookmarkStart w:id="70" w:name="_Ref135748672"/>
      <w:r>
        <w:rPr/>
        <w:t>Обмен всей информацией, связанной с проведением закупки (между Участником, Организатором (Заказчиком) и Оператором ЭП) осуществляется на ЭП в форме электронных документов, подписанных усиленной квалифицированной электронной подписью уполномоченного лица.</w:t>
      </w:r>
      <w:bookmarkEnd w:id="70"/>
    </w:p>
    <w:p>
      <w:pPr>
        <w:pStyle w:val="Style25"/>
        <w:rPr/>
      </w:pPr>
      <w:bookmarkStart w:id="71" w:name="_Ref135748741"/>
      <w:r>
        <w:rPr/>
        <w:t>Стоимость заявки (цена Договора)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71"/>
    </w:p>
    <w:p>
      <w:pPr>
        <w:pStyle w:val="Style24"/>
        <w:rPr/>
      </w:pPr>
      <w:bookmarkStart w:id="72" w:name="_Toc220500978"/>
      <w:r>
        <w:rPr/>
        <w:t>Прочие положения</w:t>
      </w:r>
      <w:bookmarkEnd w:id="72"/>
    </w:p>
    <w:p>
      <w:pPr>
        <w:pStyle w:val="Style25"/>
        <w:rPr/>
      </w:pPr>
      <w:r>
        <w:rPr/>
        <w:t>Заказчик, Организатор и Оператор ЭП обеспечивают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p>
    <w:p>
      <w:pPr>
        <w:pStyle w:val="Style25"/>
        <w:rPr/>
      </w:pPr>
      <w:bookmarkStart w:id="73" w:name="_Ref136257236"/>
      <w:r>
        <w:rPr/>
        <w:t>Организатор (по решению Закупочной комиссии), вправе отклонить заявку, если будет установлено, что Участник каким-либо способом повлиял на рассмотрение заявок, их оценку и сопоставление, подведение итогов закупки (определение Победителя), в том числе прямо или косвенно дал, согласился дать или предложил работнику Организатора, Заказчика, члену Закупочной комиссии или эксперту, осуществлявшему экспертизу заявок, вознаграждение в любой форме: работу, услугу, какую-либо ценность в качестве стимула, и (или) оказал каким-либо иным образом давление на указанных лиц.</w:t>
      </w:r>
      <w:bookmarkEnd w:id="73"/>
    </w:p>
    <w:p>
      <w:pPr>
        <w:pStyle w:val="Style25"/>
        <w:rPr/>
      </w:pPr>
      <w:r>
        <w:rPr/>
        <w:t>С целью предупреждения и противодействия противоправным действиям в Группе РусГидро организована круглосуточная «Линия доверия», обратиться на которую можно по телефону +7 (495) 785 09 37 (круглосуточно), или заполнив соответствующую форму на корпоративном сайте ПАО «РусГидро», вкладка «Линия доверия».</w:t>
      </w:r>
    </w:p>
    <w:p>
      <w:pPr>
        <w:pStyle w:val="Style23"/>
        <w:rPr/>
      </w:pPr>
      <w:bookmarkStart w:id="74" w:name="_Ref125361210"/>
      <w:bookmarkStart w:id="75" w:name="_Toc220500979"/>
      <w:r>
        <w:rPr/>
        <w:t>Требования к Участникам</w:t>
      </w:r>
      <w:bookmarkEnd w:id="74"/>
      <w:bookmarkEnd w:id="75"/>
    </w:p>
    <w:p>
      <w:pPr>
        <w:pStyle w:val="Style24"/>
        <w:rPr/>
      </w:pPr>
      <w:bookmarkStart w:id="76" w:name="_Ref127524530"/>
      <w:bookmarkStart w:id="77" w:name="_Toc220500980"/>
      <w:r>
        <w:rPr/>
        <w:t>Общие требования к Участникам</w:t>
      </w:r>
      <w:bookmarkEnd w:id="76"/>
      <w:bookmarkEnd w:id="77"/>
    </w:p>
    <w:p>
      <w:pPr>
        <w:pStyle w:val="Style25"/>
        <w:rPr/>
      </w:pPr>
      <w:bookmarkStart w:id="78" w:name="_Ref125361514"/>
      <w:r>
        <w:rPr/>
        <w:t>Из лиц, указанных в подразделе </w:t>
      </w:r>
      <w:r>
        <w:rPr/>
        <w:fldChar w:fldCharType="begin"/>
      </w:r>
      <w:r>
        <w:rPr/>
        <w:instrText xml:space="preserve"> REF _Ref125359973 \r \h </w:instrText>
      </w:r>
      <w:r>
        <w:rPr/>
        <w:fldChar w:fldCharType="separate"/>
      </w:r>
      <w:r>
        <w:rPr/>
        <w:t>1.2</w:t>
      </w:r>
      <w:r>
        <w:rPr/>
        <w:fldChar w:fldCharType="end"/>
      </w:r>
      <w:r>
        <w:rPr/>
        <w:t>, участвовать в закупке может любое 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 Исключение составляют юридические / физические лица, являющиеся иностранным агентом в соответствии с Законом 255-ФЗ – они не могут быть Участником, в том числе в составе группы лиц.</w:t>
      </w:r>
      <w:bookmarkEnd w:id="78"/>
    </w:p>
    <w:p>
      <w:pPr>
        <w:pStyle w:val="Style25"/>
        <w:rPr/>
      </w:pPr>
      <w:r>
        <w:rPr/>
        <w:t>Однако, чтобы претендовать на победу в закупке Участник самостоятельно или Коллективный участник (подраздел </w:t>
      </w:r>
      <w:r>
        <w:rPr/>
        <w:fldChar w:fldCharType="begin"/>
      </w:r>
      <w:r>
        <w:rPr/>
        <w:instrText xml:space="preserve"> REF _Ref130308062 \r \h </w:instrText>
      </w:r>
      <w:r>
        <w:rPr/>
        <w:fldChar w:fldCharType="separate"/>
      </w:r>
      <w:r>
        <w:rPr/>
        <w:t>3.2</w:t>
      </w:r>
      <w:r>
        <w:rPr/>
        <w:fldChar w:fldCharType="end"/>
      </w:r>
      <w:r>
        <w:rPr/>
        <w:t>) в целом должен отвечать требованиям, установленным в Документации о закупке.</w:t>
      </w:r>
    </w:p>
    <w:p>
      <w:pPr>
        <w:pStyle w:val="Style25"/>
        <w:rPr/>
      </w:pPr>
      <w:r>
        <w:rPr/>
        <w:t xml:space="preserve">Требования к Участникам установлены с учетом предмета договора, </w:t>
      </w:r>
      <w:hyperlink w:anchor="Прил01_ТехТребования">
        <w:r>
          <w:rPr>
            <w:rStyle w:val="Style14"/>
          </w:rPr>
          <w:t>Технических требований (Приложение № 1)</w:t>
        </w:r>
      </w:hyperlink>
      <w:r>
        <w:rPr/>
        <w:t xml:space="preserve"> и </w:t>
      </w:r>
      <w:hyperlink w:anchor="Прил02_ПроектДоговора">
        <w:r>
          <w:rPr>
            <w:rStyle w:val="Style14"/>
          </w:rPr>
          <w:t>Проекта договора (Приложение № 2)</w:t>
        </w:r>
      </w:hyperlink>
      <w:r>
        <w:rPr/>
        <w:t>.</w:t>
      </w:r>
    </w:p>
    <w:p>
      <w:pPr>
        <w:pStyle w:val="Style25"/>
        <w:keepNext w:val="true"/>
        <w:rPr/>
      </w:pPr>
      <w:r>
        <w:rPr/>
        <w:t>Установлены следующие требования к Участникам, которые приведены в </w:t>
      </w:r>
      <w:hyperlink w:anchor="Прил03_ТребованияУчастникам">
        <w:r>
          <w:rPr>
            <w:rStyle w:val="Style14"/>
          </w:rPr>
          <w:t>Приложении № 3</w:t>
        </w:r>
      </w:hyperlink>
      <w:r>
        <w:rPr/>
        <w:t>:</w:t>
      </w:r>
    </w:p>
    <w:p>
      <w:pPr>
        <w:pStyle w:val="Style26"/>
        <w:rPr/>
      </w:pPr>
      <w:r>
        <w:rPr/>
        <w:t>обязательные требования (подраздел </w:t>
      </w:r>
      <w:r>
        <w:rPr/>
        <w:fldChar w:fldCharType="begin"/>
      </w:r>
      <w:r>
        <w:rPr/>
        <w:instrText xml:space="preserve"> REF _Ref125361435 \r \h </w:instrText>
      </w:r>
      <w:r>
        <w:rPr/>
        <w:fldChar w:fldCharType="separate"/>
      </w:r>
      <w:r>
        <w:rPr/>
        <w:t>8.2</w:t>
      </w:r>
      <w:r>
        <w:rPr/>
        <w:fldChar w:fldCharType="end"/>
      </w:r>
      <w:r>
        <w:rPr/>
        <w:t>) – Участники должны им соответствовать;</w:t>
      </w:r>
    </w:p>
    <w:p>
      <w:pPr>
        <w:pStyle w:val="Style26"/>
        <w:rPr/>
      </w:pPr>
      <w:r>
        <w:rPr/>
        <w:t>специальные требования – Участники должны им соответствовать, если они установлены (подраздел </w:t>
      </w:r>
      <w:r>
        <w:rPr/>
        <w:fldChar w:fldCharType="begin"/>
      </w:r>
      <w:r>
        <w:rPr/>
        <w:instrText xml:space="preserve"> REF _Ref125709153 \r \h </w:instrText>
      </w:r>
      <w:r>
        <w:rPr/>
        <w:fldChar w:fldCharType="separate"/>
      </w:r>
      <w:r>
        <w:rPr/>
        <w:t>8.3</w:t>
      </w:r>
      <w:r>
        <w:rPr/>
        <w:fldChar w:fldCharType="end"/>
      </w:r>
      <w:r>
        <w:rPr/>
        <w:t>);</w:t>
      </w:r>
    </w:p>
    <w:p>
      <w:pPr>
        <w:pStyle w:val="Style26"/>
        <w:rPr/>
      </w:pPr>
      <w:r>
        <w:rPr/>
        <w:t>квалификационные требования – Участники должны им соответствовать, если они установлены (подраздел </w:t>
      </w:r>
      <w:r>
        <w:rPr/>
        <w:fldChar w:fldCharType="begin"/>
      </w:r>
      <w:r>
        <w:rPr/>
        <w:instrText xml:space="preserve"> REF _Ref125709154 \r \h </w:instrText>
      </w:r>
      <w:r>
        <w:rPr/>
        <w:fldChar w:fldCharType="separate"/>
      </w:r>
      <w:r>
        <w:rPr/>
        <w:t>8.4</w:t>
      </w:r>
      <w:r>
        <w:rPr/>
        <w:fldChar w:fldCharType="end"/>
      </w:r>
      <w:r>
        <w:rPr/>
        <w:t>).</w:t>
      </w:r>
    </w:p>
    <w:p>
      <w:pPr>
        <w:pStyle w:val="Style25"/>
        <w:keepNext w:val="true"/>
        <w:rPr/>
      </w:pPr>
      <w:r>
        <w:rPr/>
        <w:t>В рамках требований к Участникам могут быть установлены дополнительные требования:</w:t>
      </w:r>
    </w:p>
    <w:p>
      <w:pPr>
        <w:pStyle w:val="Style26"/>
        <w:rPr/>
      </w:pPr>
      <w:r>
        <w:rPr/>
        <w:t>к Коллективным участникам (подраздел </w:t>
      </w:r>
      <w:r>
        <w:rPr/>
        <w:fldChar w:fldCharType="begin"/>
      </w:r>
      <w:r>
        <w:rPr/>
        <w:instrText xml:space="preserve"> REF _Ref130308111 \r \h </w:instrText>
      </w:r>
      <w:r>
        <w:rPr/>
        <w:fldChar w:fldCharType="separate"/>
      </w:r>
      <w:r>
        <w:rPr/>
        <w:t>3.2</w:t>
      </w:r>
      <w:r>
        <w:rPr/>
        <w:fldChar w:fldCharType="end"/>
      </w:r>
      <w:r>
        <w:rPr/>
        <w:t>);</w:t>
      </w:r>
    </w:p>
    <w:p>
      <w:pPr>
        <w:pStyle w:val="Style26"/>
        <w:rPr/>
      </w:pPr>
      <w:r>
        <w:rPr/>
        <w:t>к Генеральным подрядчикам (подраздел </w:t>
      </w:r>
      <w:r>
        <w:rPr/>
        <w:fldChar w:fldCharType="begin"/>
      </w:r>
      <w:r>
        <w:rPr/>
        <w:instrText xml:space="preserve"> REF _Ref125361702 \r \h </w:instrText>
      </w:r>
      <w:r>
        <w:rPr/>
        <w:fldChar w:fldCharType="separate"/>
      </w:r>
      <w:r>
        <w:rPr/>
        <w:t>3.3</w:t>
      </w:r>
      <w:r>
        <w:rPr/>
        <w:fldChar w:fldCharType="end"/>
      </w:r>
      <w:r>
        <w:rPr/>
        <w:t>).</w:t>
      </w:r>
    </w:p>
    <w:p>
      <w:pPr>
        <w:pStyle w:val="Style25"/>
        <w:rPr/>
      </w:pPr>
      <w:r>
        <w:rPr/>
        <w:t xml:space="preserve">Для подтверждения соответствия установленным требованиям Участник обязан приложить в составе заявки документы, перечисленные в </w:t>
      </w:r>
      <w:hyperlink w:anchor="Прил03_ТребованияУчастникам">
        <w:r>
          <w:rPr>
            <w:rStyle w:val="Style14"/>
          </w:rPr>
          <w:t>Требованиях к Участникам (Приложение № 3)</w:t>
        </w:r>
      </w:hyperlink>
      <w:r>
        <w:rPr/>
        <w:t>, если иное не установлено в Документации о закупке.</w:t>
      </w:r>
    </w:p>
    <w:p>
      <w:pPr>
        <w:pStyle w:val="Style24"/>
        <w:rPr/>
      </w:pPr>
      <w:bookmarkStart w:id="79" w:name="_Toc220500981"/>
      <w:bookmarkStart w:id="80" w:name="_Ref130308203"/>
      <w:bookmarkStart w:id="81" w:name="_Ref130308111"/>
      <w:bookmarkStart w:id="82" w:name="_Ref130308062"/>
      <w:bookmarkStart w:id="83" w:name="_Ref130305355"/>
      <w:bookmarkStart w:id="84" w:name="_Ref130308255"/>
      <w:bookmarkStart w:id="85" w:name="_Ref125361969"/>
      <w:bookmarkStart w:id="86" w:name="_Ref125361976"/>
      <w:r>
        <w:rPr/>
        <w:t>Коллективные участники</w:t>
      </w:r>
      <w:bookmarkEnd w:id="79"/>
      <w:bookmarkEnd w:id="80"/>
      <w:bookmarkEnd w:id="81"/>
      <w:bookmarkEnd w:id="82"/>
      <w:bookmarkEnd w:id="83"/>
      <w:bookmarkEnd w:id="84"/>
      <w:bookmarkEnd w:id="85"/>
      <w:bookmarkEnd w:id="86"/>
    </w:p>
    <w:p>
      <w:pPr>
        <w:pStyle w:val="Style25"/>
        <w:rPr/>
      </w:pPr>
      <w:r>
        <w:rPr/>
        <w:t>В закупке могут участвовать объединения юридических и (или) физических лиц (в том числе индивидуальные предприниматели), способные на законных основаниях выполнить требуемую поставку продукции – Коллективный участник.</w:t>
      </w:r>
    </w:p>
    <w:p>
      <w:pPr>
        <w:pStyle w:val="Style25"/>
        <w:rPr/>
      </w:pPr>
      <w:r>
        <w:rPr/>
        <w:t>Если заявка подается Коллективным участником, дополнительно должны быть выполнены требования настоящего подраздела, а также требования к дополнительным документам, предоставляемым Коллективными участниками в составе заявки, установленные в подразделе </w:t>
      </w:r>
      <w:r>
        <w:rPr/>
        <w:fldChar w:fldCharType="begin"/>
      </w:r>
      <w:r>
        <w:rPr/>
        <w:instrText xml:space="preserve"> REF _Ref125552455 \r \h </w:instrText>
      </w:r>
      <w:r>
        <w:rPr/>
        <w:fldChar w:fldCharType="separate"/>
      </w:r>
      <w:r>
        <w:rPr/>
        <w:t>8.5</w:t>
      </w:r>
      <w:r>
        <w:rPr/>
        <w:fldChar w:fldCharType="end"/>
      </w:r>
      <w:r>
        <w:rPr/>
        <w:t xml:space="preserve"> </w:t>
      </w:r>
      <w:hyperlink w:anchor="Прил03_ТребованияУчастникам">
        <w:r>
          <w:rPr>
            <w:rStyle w:val="Style14"/>
          </w:rPr>
          <w:t>Требований к Участникам (Приложение № 3)</w:t>
        </w:r>
      </w:hyperlink>
      <w:r>
        <w:rPr/>
        <w:t>.</w:t>
      </w:r>
    </w:p>
    <w:p>
      <w:pPr>
        <w:pStyle w:val="Style25"/>
        <w:keepNext w:val="true"/>
        <w:rPr/>
      </w:pPr>
      <w:bookmarkStart w:id="87" w:name="_Ref125366972"/>
      <w:r>
        <w:rPr/>
        <w:t>Члены Коллективного участника заключают между собой соглашение, соответствующее нормам ГК РФ, и отвечающее следующим требованиям:</w:t>
      </w:r>
      <w:bookmarkEnd w:id="87"/>
    </w:p>
    <w:p>
      <w:pPr>
        <w:pStyle w:val="Style26"/>
        <w:rPr/>
      </w:pPr>
      <w:r>
        <w:rPr/>
        <w:t>в соглашении должны быть определены права и обязанности сторон как в рамках участия в закупке, так и в рамках исполнения Договора;</w:t>
      </w:r>
    </w:p>
    <w:p>
      <w:pPr>
        <w:pStyle w:val="Style26"/>
        <w:rPr/>
      </w:pPr>
      <w:r>
        <w:rPr/>
        <w:t>в соглашении должно быть приведено распределение номенклатуры, объемов и стоимости, а также сроков поставки продукции между членами Коллективного участника;</w:t>
      </w:r>
    </w:p>
    <w:p>
      <w:pPr>
        <w:pStyle w:val="Style26"/>
        <w:rPr/>
      </w:pPr>
      <w:r>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
    <w:p>
      <w:pPr>
        <w:pStyle w:val="Style26"/>
        <w:rPr/>
      </w:pPr>
      <w:r>
        <w:rPr/>
        <w:t>в соглашении должна быть установлена солидарная ответственность каждого члена Коллективного участника по обязательствам, связанным с участием в закупке, заключением и последующим исполнением Договора;</w:t>
      </w:r>
    </w:p>
    <w:p>
      <w:pPr>
        <w:pStyle w:val="Style26"/>
        <w:rPr/>
      </w:pPr>
      <w:r>
        <w:rPr/>
        <w:t>срок действия соглашения должен быть не менее срока исполнения обязательств Участника по Договору, предлагаемого в составе заявки;</w:t>
      </w:r>
    </w:p>
    <w:p>
      <w:pPr>
        <w:pStyle w:val="Style26"/>
        <w:rPr/>
      </w:pPr>
      <w:r>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p>
    <w:p>
      <w:pPr>
        <w:pStyle w:val="Style25"/>
        <w:rPr/>
      </w:pPr>
      <w:r>
        <w:rPr/>
        <w:t>Заявка подготавливается и подается лидером от своего имени со ссылкой в Письме о подаче оферты (форма 2) (</w:t>
      </w:r>
      <w:hyperlink w:anchor="Прил04_ФормыЗаявки">
        <w:r>
          <w:rPr>
            <w:rStyle w:val="Style14"/>
          </w:rPr>
          <w:t>Приложение № 4</w:t>
        </w:r>
      </w:hyperlink>
      <w:r>
        <w:rPr/>
        <w:t>) на то, что он представляет интересы Коллективного участника.</w:t>
      </w:r>
    </w:p>
    <w:p>
      <w:pPr>
        <w:pStyle w:val="Style25"/>
        <w:rPr/>
      </w:pPr>
      <w:bookmarkStart w:id="88" w:name="_Ref125368791"/>
      <w:r>
        <w:rPr/>
        <w:t>Каждый член Коллективного участника (включая лидера Коллективного участника) должен отвечать всем обязательным требованиям к Участникам (подраздел </w:t>
      </w:r>
      <w:r>
        <w:rPr/>
        <w:fldChar w:fldCharType="begin"/>
      </w:r>
      <w:r>
        <w:rPr/>
        <w:instrText xml:space="preserve"> REF _Ref125361435 \r \h </w:instrText>
      </w:r>
      <w:r>
        <w:rPr/>
        <w:fldChar w:fldCharType="separate"/>
      </w:r>
      <w:r>
        <w:rPr/>
        <w:t>8.2</w:t>
      </w:r>
      <w:r>
        <w:rPr/>
        <w:fldChar w:fldCharType="end"/>
      </w:r>
      <w:r>
        <w:rPr/>
        <w:t>).</w:t>
      </w:r>
      <w:bookmarkEnd w:id="88"/>
    </w:p>
    <w:p>
      <w:pPr>
        <w:pStyle w:val="Style25"/>
        <w:rPr/>
      </w:pPr>
      <w:r>
        <w:rPr/>
        <w:t>При рассмотрении и оценке Коллективного участника на соответствие специальным требованиям к Участникам (подраздел </w:t>
      </w:r>
      <w:r>
        <w:rPr/>
        <w:fldChar w:fldCharType="begin"/>
      </w:r>
      <w:r>
        <w:rPr/>
        <w:instrText xml:space="preserve"> REF _Ref125709153 \r \h </w:instrText>
      </w:r>
      <w:r>
        <w:rPr/>
        <w:fldChar w:fldCharType="separate"/>
      </w:r>
      <w:r>
        <w:rPr/>
        <w:t>8.3</w:t>
      </w:r>
      <w:r>
        <w:rPr/>
        <w:fldChar w:fldCharType="end"/>
      </w:r>
      <w:r>
        <w:rPr/>
        <w:t>) показатели, в том числе относящиеся к наличию специальных допусков, лицензий, членства в саморегулируемых организациях, других разрешительных документов, должны быть в наличии у членов Коллективного участника, которым в соответствии с Планом распределения объемов поставки продукции (форма 11) (</w:t>
      </w:r>
      <w:hyperlink w:anchor="Прил04_ФормыЗаявки">
        <w:r>
          <w:rPr>
            <w:rStyle w:val="Style14"/>
          </w:rPr>
          <w:t>Приложение № 4</w:t>
        </w:r>
      </w:hyperlink>
      <w:r>
        <w:rPr/>
        <w:t>) будет поручена непосредственная поставка продукции, требующая наличия указанных специальных допусков, лицензий, разрешительных документов, членства в саморегулируемых организациях в соответствии с законодательством (с уровнем ответственности пропорционально порученному объему поставки продукции).</w:t>
      </w:r>
    </w:p>
    <w:p>
      <w:pPr>
        <w:pStyle w:val="Style25"/>
        <w:rPr/>
      </w:pPr>
      <w:bookmarkStart w:id="89" w:name="_Ref134705077"/>
      <w:r>
        <w:rPr/>
        <w:t>При рассмотрении и оценке Коллективного участника на соответствие квалификационным требованиям к Участникам (подраздел </w:t>
      </w:r>
      <w:r>
        <w:rPr/>
        <w:fldChar w:fldCharType="begin"/>
      </w:r>
      <w:r>
        <w:rPr/>
        <w:instrText xml:space="preserve"> REF _Ref125709154 \r \h </w:instrText>
      </w:r>
      <w:r>
        <w:rPr/>
        <w:fldChar w:fldCharType="separate"/>
      </w:r>
      <w:r>
        <w:rPr/>
        <w:t>8.4</w:t>
      </w:r>
      <w:r>
        <w:rPr/>
        <w:fldChar w:fldCharType="end"/>
      </w:r>
      <w:r>
        <w:rPr/>
        <w:t>), количественные параметры деятельности членов Коллективного участника (</w:t>
      </w:r>
      <w:bookmarkStart w:id="90" w:name="_Hlk132708323"/>
      <w:r>
        <w:rPr/>
        <w:t>наличие требуемого опыта, обеспеченность материально-техническими ресурсами и кадровыми ресурсами</w:t>
      </w:r>
      <w:bookmarkEnd w:id="90"/>
      <w:r>
        <w:rPr/>
        <w:t>) суммируются. Не подлежащие суммированию показатели, относящиеся к качественным характеристикам требуемого опыта, должны быть в наличии у членов Коллективного участника, которым в соответствии с Планом распределения объемов поставки продукции (форма 11) (</w:t>
      </w:r>
      <w:hyperlink w:anchor="Прил04_ФормыЗаявки">
        <w:r>
          <w:rPr>
            <w:rStyle w:val="Style14"/>
          </w:rPr>
          <w:t>Приложение № 4</w:t>
        </w:r>
      </w:hyperlink>
      <w:r>
        <w:rPr/>
        <w:t>) будет поручена непосредственная поставка продукции, требующая наличия указанного опыта и других показателей, не подлежащих суммированию.</w:t>
      </w:r>
      <w:bookmarkEnd w:id="89"/>
    </w:p>
    <w:p>
      <w:pPr>
        <w:pStyle w:val="Style25"/>
        <w:keepNext w:val="true"/>
        <w:rPr/>
      </w:pPr>
      <w:bookmarkStart w:id="91" w:name="_Ref125361726"/>
      <w:r>
        <w:rPr/>
        <w:t>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91"/>
    </w:p>
    <w:p>
      <w:pPr>
        <w:pStyle w:val="Style26"/>
        <w:rPr/>
      </w:pPr>
      <w:r>
        <w:rPr/>
        <w:t>принимать участие в этой же закупке самостоятельно;</w:t>
      </w:r>
    </w:p>
    <w:p>
      <w:pPr>
        <w:pStyle w:val="Style26"/>
        <w:rPr/>
      </w:pPr>
      <w:r>
        <w:rPr/>
        <w:t>принимать участие в этой же закупке в качестве Генерального подрядчика или субподрядчика (подраздел </w:t>
      </w:r>
      <w:r>
        <w:rPr/>
        <w:fldChar w:fldCharType="begin"/>
      </w:r>
      <w:r>
        <w:rPr/>
        <w:instrText xml:space="preserve"> REF _Ref125361702 \r \h </w:instrText>
      </w:r>
      <w:r>
        <w:rPr/>
        <w:fldChar w:fldCharType="separate"/>
      </w:r>
      <w:r>
        <w:rPr/>
        <w:t>3.3</w:t>
      </w:r>
      <w:r>
        <w:rPr/>
        <w:fldChar w:fldCharType="end"/>
      </w:r>
      <w:r>
        <w:rPr/>
        <w:t>).</w:t>
      </w:r>
    </w:p>
    <w:p>
      <w:pPr>
        <w:pStyle w:val="Style29"/>
        <w:ind w:left="1134" w:hanging="0"/>
        <w:rPr/>
      </w:pPr>
      <w:r>
        <w:rPr/>
        <w:t>В случае невыполнения данного требования все заявки с участием таких лиц будут отклонены без рассмотрения, по существу.</w:t>
      </w:r>
    </w:p>
    <w:p>
      <w:pPr>
        <w:pStyle w:val="Style25"/>
        <w:rPr/>
      </w:pPr>
      <w:r>
        <w:rPr/>
        <w:t>В случае несоответствия какого-либо из заявленных членов Коллективного участника установленным требованиям (</w:t>
      </w:r>
      <w:hyperlink w:anchor="Прил03_ТребованияУчастникам">
        <w:r>
          <w:rPr>
            <w:rStyle w:val="Style14"/>
          </w:rPr>
          <w:t>Приложение № 3</w:t>
        </w:r>
      </w:hyperlink>
      <w:r>
        <w:rPr>
          <w:rStyle w:val="Style14"/>
        </w:rPr>
        <w:t>)</w:t>
      </w:r>
      <w:r>
        <w:rPr/>
        <w:t>, а также при несоблюдении вышеуказанных норм настоящего подраздела, заявка такого Коллективного участника отклоняется.</w:t>
      </w:r>
    </w:p>
    <w:p>
      <w:pPr>
        <w:pStyle w:val="Style25"/>
        <w:rPr/>
      </w:pPr>
      <w:r>
        <w:rPr/>
        <w:t>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p>
    <w:p>
      <w:pPr>
        <w:pStyle w:val="Style25"/>
        <w:rPr/>
      </w:pPr>
      <w:r>
        <w:rPr/>
        <w:t>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p>
    <w:p>
      <w:pPr>
        <w:pStyle w:val="Style24"/>
        <w:rPr/>
      </w:pPr>
      <w:bookmarkStart w:id="92" w:name="_Toc220500982"/>
      <w:bookmarkStart w:id="93" w:name="_Ref125361702"/>
      <w:r>
        <w:rPr/>
        <w:t>Генеральные подрядчики</w:t>
      </w:r>
      <w:bookmarkEnd w:id="92"/>
      <w:bookmarkEnd w:id="93"/>
    </w:p>
    <w:p>
      <w:pPr>
        <w:pStyle w:val="Style25"/>
        <w:rPr/>
      </w:pPr>
      <w:r>
        <w:rPr/>
        <w:t>Нормы настоящего подраздела применяются только,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предусмотрено рассмотрение и оценка заявок Участников с учетом привлекаемых субподрядчиков.</w:t>
      </w:r>
    </w:p>
    <w:p>
      <w:pPr>
        <w:pStyle w:val="Style25"/>
        <w:rPr/>
      </w:pPr>
      <w:r>
        <w:rPr/>
        <w:t>Если заявка подается Участником от лица Генерального подрядчика, дополнительно должны быть выполнены требования настоящего подраздела, а также требования к дополнительным документам, предоставляемым таким Участником в составе заявки, установленные в подразделе </w:t>
      </w:r>
      <w:r>
        <w:rPr/>
        <w:fldChar w:fldCharType="begin"/>
      </w:r>
      <w:r>
        <w:rPr/>
        <w:instrText xml:space="preserve"> REF _Ref125709777 \r \h </w:instrText>
      </w:r>
      <w:r>
        <w:rPr/>
        <w:fldChar w:fldCharType="separate"/>
      </w:r>
      <w:r>
        <w:rPr/>
        <w:t>8.6</w:t>
      </w:r>
      <w:r>
        <w:rPr/>
        <w:fldChar w:fldCharType="end"/>
      </w:r>
      <w:r>
        <w:rPr/>
        <w:t xml:space="preserve"> </w:t>
      </w:r>
      <w:hyperlink w:anchor="Прил03_ТребованияУчастникам">
        <w:r>
          <w:rPr>
            <w:rStyle w:val="Style14"/>
          </w:rPr>
          <w:t>Требований к Участникам (Приложение № 3)</w:t>
        </w:r>
      </w:hyperlink>
      <w:r>
        <w:rPr/>
        <w:t>.</w:t>
      </w:r>
    </w:p>
    <w:p>
      <w:pPr>
        <w:pStyle w:val="Style25"/>
        <w:keepNext w:val="true"/>
        <w:rPr/>
      </w:pPr>
      <w:r>
        <w:rPr/>
        <w:t>Генеральный подрядчик:</w:t>
      </w:r>
    </w:p>
    <w:p>
      <w:pPr>
        <w:pStyle w:val="Style26"/>
        <w:rPr/>
      </w:pPr>
      <w:r>
        <w:rPr/>
        <w:t>должен самостоятельно отвечать всем обязательным требованиям к Участникам (подраздел </w:t>
      </w:r>
      <w:r>
        <w:rPr/>
        <w:fldChar w:fldCharType="begin"/>
      </w:r>
      <w:r>
        <w:rPr/>
        <w:instrText xml:space="preserve"> REF _Ref125361435 \r \h </w:instrText>
      </w:r>
      <w:r>
        <w:rPr/>
        <w:fldChar w:fldCharType="separate"/>
      </w:r>
      <w:r>
        <w:rPr/>
        <w:t>8.2</w:t>
      </w:r>
      <w:r>
        <w:rPr/>
        <w:fldChar w:fldCharType="end"/>
      </w:r>
      <w:r>
        <w:rPr/>
        <w:t>);</w:t>
      </w:r>
    </w:p>
    <w:p>
      <w:pPr>
        <w:pStyle w:val="Style26"/>
        <w:rPr/>
      </w:pPr>
      <w:r>
        <w:rPr/>
        <w:t>в рамках специальных требований (подраздел </w:t>
      </w:r>
      <w:r>
        <w:rPr/>
        <w:fldChar w:fldCharType="begin"/>
      </w:r>
      <w:r>
        <w:rPr/>
        <w:instrText xml:space="preserve"> REF _Ref125709153 \r \h </w:instrText>
      </w:r>
      <w:r>
        <w:rPr/>
        <w:fldChar w:fldCharType="separate"/>
      </w:r>
      <w:r>
        <w:rPr/>
        <w:t>8.3</w:t>
      </w:r>
      <w:r>
        <w:rPr/>
        <w:fldChar w:fldCharType="end"/>
      </w:r>
      <w:r>
        <w:rPr/>
        <w:t>), касающихся членства в саморегулируемых организациях (в случае их установления), должен иметь соответствующее членство с учетом требований законодательства к такому членству;</w:t>
      </w:r>
    </w:p>
    <w:p>
      <w:pPr>
        <w:pStyle w:val="Style26"/>
        <w:rPr/>
      </w:pPr>
      <w:r>
        <w:rPr/>
        <w:t>в рамках остальных специальных требований и квалификационных требований (подраздел </w:t>
      </w:r>
      <w:r>
        <w:rPr/>
        <w:fldChar w:fldCharType="begin"/>
      </w:r>
      <w:r>
        <w:rPr/>
        <w:instrText xml:space="preserve"> REF _Ref125709154 \r \h </w:instrText>
      </w:r>
      <w:r>
        <w:rPr/>
        <w:fldChar w:fldCharType="separate"/>
      </w:r>
      <w:r>
        <w:rPr/>
        <w:t>8.4</w:t>
      </w:r>
      <w:r>
        <w:rPr/>
        <w:fldChar w:fldCharType="end"/>
      </w:r>
      <w:r>
        <w:rPr/>
        <w:t>) (в случае их установления) должен отвечать им только в части объема поставки продукции, который ему предполагается поручить в соответствии с Планом распределения объемов поставки продукции (форма 11) (</w:t>
      </w:r>
      <w:hyperlink w:anchor="Прил04_ФормыЗаявки">
        <w:r>
          <w:rPr>
            <w:rStyle w:val="Style14"/>
          </w:rPr>
          <w:t>Приложение № 4</w:t>
        </w:r>
      </w:hyperlink>
      <w:r>
        <w:rPr/>
        <w:t>).</w:t>
      </w:r>
    </w:p>
    <w:p>
      <w:pPr>
        <w:pStyle w:val="Style25"/>
        <w:keepNext w:val="true"/>
        <w:rPr/>
      </w:pPr>
      <w:r>
        <w:rPr/>
        <w:t>Каждый субподрядчик из привлекаемых Генеральным подрядчиком должен отвечать:</w:t>
      </w:r>
    </w:p>
    <w:p>
      <w:pPr>
        <w:pStyle w:val="Style26"/>
        <w:rPr/>
      </w:pPr>
      <w:r>
        <w:rPr/>
        <w:t>обязательным требованиям (подраздел </w:t>
      </w:r>
      <w:r>
        <w:rPr/>
        <w:fldChar w:fldCharType="begin"/>
      </w:r>
      <w:r>
        <w:rPr/>
        <w:instrText xml:space="preserve"> REF _Ref125361435 \r \h </w:instrText>
      </w:r>
      <w:r>
        <w:rPr/>
        <w:fldChar w:fldCharType="separate"/>
      </w:r>
      <w:r>
        <w:rPr/>
        <w:t>8.2</w:t>
      </w:r>
      <w:r>
        <w:rPr/>
        <w:fldChar w:fldCharType="end"/>
      </w:r>
      <w:r>
        <w:rPr/>
        <w:t>);</w:t>
      </w:r>
    </w:p>
    <w:p>
      <w:pPr>
        <w:pStyle w:val="Style26"/>
        <w:rPr/>
      </w:pPr>
      <w:r>
        <w:rPr/>
        <w:t>специальным требованиям (подраздел </w:t>
      </w:r>
      <w:r>
        <w:rPr/>
        <w:fldChar w:fldCharType="begin"/>
      </w:r>
      <w:r>
        <w:rPr/>
        <w:instrText xml:space="preserve"> REF _Ref125709153 \r \h </w:instrText>
      </w:r>
      <w:r>
        <w:rPr/>
        <w:fldChar w:fldCharType="separate"/>
      </w:r>
      <w:r>
        <w:rPr/>
        <w:t>8.3</w:t>
      </w:r>
      <w:r>
        <w:rPr/>
        <w:fldChar w:fldCharType="end"/>
      </w:r>
      <w:r>
        <w:rPr/>
        <w:t>) (в случае их установления), за исключением требования о наличии членства в саморегулируемых организациях;</w:t>
      </w:r>
    </w:p>
    <w:p>
      <w:pPr>
        <w:pStyle w:val="Style26"/>
        <w:rPr/>
      </w:pPr>
      <w:r>
        <w:rPr/>
        <w:t>квалификационным требованиям (подраздел </w:t>
      </w:r>
      <w:r>
        <w:rPr/>
        <w:fldChar w:fldCharType="begin"/>
      </w:r>
      <w:r>
        <w:rPr/>
        <w:instrText xml:space="preserve"> REF _Ref125709154 \r \h </w:instrText>
      </w:r>
      <w:r>
        <w:rPr/>
        <w:fldChar w:fldCharType="separate"/>
      </w:r>
      <w:r>
        <w:rPr/>
        <w:t>8.4</w:t>
      </w:r>
      <w:r>
        <w:rPr/>
        <w:fldChar w:fldCharType="end"/>
      </w:r>
      <w:r>
        <w:rPr/>
        <w:t>) (в случае их установления).</w:t>
      </w:r>
    </w:p>
    <w:p>
      <w:pPr>
        <w:pStyle w:val="Style29"/>
        <w:ind w:left="1134" w:hanging="0"/>
        <w:rPr/>
      </w:pPr>
      <w:bookmarkStart w:id="94" w:name="_Ref125368863"/>
      <w:r>
        <w:rPr/>
        <w:t xml:space="preserve">При этом соответствовать специальным и квалификационным требованиям субподрядчик должен только в части объема поставки продукции, который ему поручен </w:t>
      </w:r>
      <w:bookmarkEnd w:id="94"/>
      <w:r>
        <w:rPr/>
        <w:t>в соответствии с Планом распределения объемов поставки продукции (форма 11) (</w:t>
      </w:r>
      <w:hyperlink w:anchor="Прил04_ФормыЗаявки">
        <w:r>
          <w:rPr>
            <w:rStyle w:val="Style14"/>
          </w:rPr>
          <w:t>Приложение № 4</w:t>
        </w:r>
      </w:hyperlink>
      <w:r>
        <w:rPr/>
        <w:t>).</w:t>
      </w:r>
    </w:p>
    <w:p>
      <w:pPr>
        <w:pStyle w:val="Style25"/>
        <w:rPr/>
      </w:pPr>
      <w:r>
        <w:rPr/>
        <w:t xml:space="preserve">При оценке и сопоставлении заявки Генерального подрядчика по квалификационным критериям (если они установлены в </w:t>
      </w:r>
      <w:hyperlink w:anchor="Прил08_ПорядокОценки">
        <w:r>
          <w:rPr>
            <w:rStyle w:val="Style14"/>
          </w:rPr>
          <w:t>Порядке и критериях оценки и сопоставления заявок (Приложение № 8)</w:t>
        </w:r>
      </w:hyperlink>
      <w:r>
        <w:rPr/>
        <w:t>) количественные параметры деятельности Генерального подрядчика и субподрядчиков суммируются (наличие требуемого опыта, обеспеченность материально-техническими ресурсами и кадровыми ресурсами).</w:t>
      </w:r>
    </w:p>
    <w:p>
      <w:pPr>
        <w:pStyle w:val="Style25"/>
        <w:rPr/>
      </w:pPr>
      <w:bookmarkStart w:id="95" w:name="_Ref125361799"/>
      <w:r>
        <w:rPr/>
        <w:t>Любое юридическое или физическое лицо (в том числе 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 </w:t>
      </w:r>
      <w:r>
        <w:rPr/>
        <w:fldChar w:fldCharType="begin"/>
      </w:r>
      <w:r>
        <w:rPr/>
        <w:instrText xml:space="preserve"> REF _Ref130308203 \r \h </w:instrText>
      </w:r>
      <w:r>
        <w:rPr/>
        <w:fldChar w:fldCharType="separate"/>
      </w:r>
      <w:r>
        <w:rPr/>
        <w:t>3.2</w:t>
      </w:r>
      <w:r>
        <w:rPr/>
        <w:fldChar w:fldCharType="end"/>
      </w:r>
      <w:r>
        <w:rPr/>
        <w:t>).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 участием таких лиц будут отклонены без рассмотрения, по существу.</w:t>
      </w:r>
      <w:bookmarkEnd w:id="95"/>
    </w:p>
    <w:p>
      <w:pPr>
        <w:sectPr>
          <w:headerReference w:type="default" r:id="rId7"/>
          <w:footerReference w:type="default" r:id="rId8"/>
          <w:footerReference w:type="first" r:id="rId9"/>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5"/>
        <w:rPr/>
      </w:pPr>
      <w:r>
        <w:rPr/>
        <w:t>Если подразделом </w:t>
      </w:r>
      <w:r>
        <w:rPr/>
        <w:fldChar w:fldCharType="begin"/>
      </w:r>
      <w:r>
        <w:rPr/>
        <w:instrText xml:space="preserve"> REF _Ref125359973 \r \h </w:instrText>
      </w:r>
      <w:r>
        <w:rPr/>
        <w:fldChar w:fldCharType="separate"/>
      </w:r>
      <w:r>
        <w:rPr/>
        <w:t>1.2</w:t>
      </w:r>
      <w:r>
        <w:rPr/>
        <w:fldChar w:fldCharType="end"/>
      </w:r>
      <w:r>
        <w:rPr/>
        <w:t xml:space="preserve"> не предусмотрены рассмотрение и оценка заявок Участников с учетом привлекаемых субподрядчиков, то при рассмотрении и оценке заявок к учету принимаются исключительно сведения о самом Участнике, в связи с чем Участник не обязан предоставлять документы на привлекаемых им субподрядчиков, указанные в подразделе </w:t>
      </w:r>
      <w:r>
        <w:rPr/>
        <w:fldChar w:fldCharType="begin"/>
      </w:r>
      <w:r>
        <w:rPr/>
        <w:instrText xml:space="preserve"> REF _Ref125709973 \r \h </w:instrText>
      </w:r>
      <w:r>
        <w:rPr/>
        <w:fldChar w:fldCharType="separate"/>
      </w:r>
      <w:r>
        <w:rPr/>
        <w:t>8.6</w:t>
      </w:r>
      <w:r>
        <w:rPr/>
        <w:fldChar w:fldCharType="end"/>
      </w:r>
      <w:r>
        <w:rPr/>
        <w:t xml:space="preserve"> </w:t>
      </w:r>
      <w:hyperlink w:anchor="Прил03_ТребованияУчастникам">
        <w:r>
          <w:rPr>
            <w:rStyle w:val="Style14"/>
          </w:rPr>
          <w:t>Требований к Участникам (Приложение № 3)</w:t>
        </w:r>
      </w:hyperlink>
      <w:r>
        <w:rPr/>
        <w:t>.Ответственность за 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p>
    <w:p>
      <w:pPr>
        <w:pStyle w:val="Style23"/>
        <w:rPr/>
      </w:pPr>
      <w:bookmarkStart w:id="96" w:name="_Ref125361211"/>
      <w:bookmarkStart w:id="97" w:name="_Ref125367098"/>
      <w:bookmarkStart w:id="98" w:name="_Toc220500983"/>
      <w:bookmarkStart w:id="99" w:name="_Ref125367107"/>
      <w:bookmarkStart w:id="100" w:name="_Ref125367974"/>
      <w:r>
        <w:rPr/>
        <w:t>Порядок проведения закупки</w:t>
      </w:r>
      <w:bookmarkEnd w:id="96"/>
      <w:bookmarkEnd w:id="97"/>
      <w:bookmarkEnd w:id="98"/>
      <w:bookmarkEnd w:id="99"/>
      <w:bookmarkEnd w:id="100"/>
    </w:p>
    <w:p>
      <w:pPr>
        <w:pStyle w:val="Style24"/>
        <w:rPr/>
      </w:pPr>
      <w:bookmarkStart w:id="101" w:name="_Ref126141932"/>
      <w:bookmarkStart w:id="102" w:name="_Toc220500984"/>
      <w:r>
        <w:rPr/>
        <w:t>Общий порядок проведения закупки</w:t>
      </w:r>
      <w:bookmarkEnd w:id="101"/>
      <w:bookmarkEnd w:id="102"/>
    </w:p>
    <w:p>
      <w:pPr>
        <w:pStyle w:val="Style25"/>
        <w:keepNext w:val="true"/>
        <w:spacing w:before="120" w:after="120"/>
        <w:rPr/>
      </w:pPr>
      <w:r>
        <w:rPr/>
        <w:t>Закупка проводится в следующем порядке:</w:t>
      </w:r>
    </w:p>
    <w:tbl>
      <w:tblPr>
        <w:tblStyle w:val="af4"/>
        <w:tblW w:w="14003" w:type="dxa"/>
        <w:jc w:val="left"/>
        <w:tblInd w:w="1129" w:type="dxa"/>
        <w:tblLayout w:type="fixed"/>
        <w:tblCellMar>
          <w:top w:w="0" w:type="dxa"/>
          <w:left w:w="0" w:type="dxa"/>
          <w:bottom w:w="0" w:type="dxa"/>
          <w:right w:w="5" w:type="dxa"/>
        </w:tblCellMar>
        <w:tblLook w:val="04a0" w:noHBand="0" w:noVBand="1" w:firstColumn="1" w:lastRow="0" w:lastColumn="0" w:firstRow="1"/>
      </w:tblPr>
      <w:tblGrid>
        <w:gridCol w:w="428"/>
        <w:gridCol w:w="2221"/>
        <w:gridCol w:w="1112"/>
        <w:gridCol w:w="1109"/>
        <w:gridCol w:w="2226"/>
        <w:gridCol w:w="2409"/>
        <w:gridCol w:w="2267"/>
        <w:gridCol w:w="2230"/>
      </w:tblGrid>
      <w:tr>
        <w:trPr>
          <w:cnfStyle w:val="100000000000" w:firstRow="1" w:lastRow="0" w:firstColumn="0" w:lastColumn="0" w:oddVBand="0" w:evenVBand="0" w:oddHBand="0" w:evenHBand="0" w:firstRowFirstColumn="0" w:firstRowLastColumn="0" w:lastRowFirstColumn="0" w:lastRowLastColumn="0"/>
        </w:trPr>
        <w:tc>
          <w:tcPr>
            <w:tcW w:w="428" w:type="dxa"/>
            <w:tcBorders>
              <w:left w:val="nil"/>
            </w:tcBorders>
            <w:vAlign w:val="bottom"/>
          </w:tcPr>
          <w:p>
            <w:pPr>
              <w:pStyle w:val="Style29"/>
              <w:keepNext w:val="true"/>
              <w:keepLines w:val="false"/>
              <w:widowControl w:val="false"/>
              <w:suppressAutoHyphens w:val="true"/>
              <w:spacing w:before="40" w:after="40"/>
              <w:jc w:val="center"/>
              <w:rPr>
                <w:b w:val="false"/>
                <w:bCs/>
                <w:sz w:val="24"/>
                <w:szCs w:val="24"/>
              </w:rPr>
            </w:pPr>
            <w:r>
              <w:rPr>
                <w:rFonts w:eastAsia="Wingdings 3" w:cs="Wingdings 3" w:ascii="Wingdings 3" w:hAnsi="Wingdings 3"/>
                <w:b w:val="false"/>
                <w:bCs/>
                <w:kern w:val="0"/>
                <w:sz w:val="24"/>
                <w:szCs w:val="24"/>
                <w:lang w:val="ru-RU" w:eastAsia="en-US" w:bidi="ar-SA"/>
              </w:rPr>
              <w:sym w:font="Wingdings 3" w:char="f0d4"/>
            </w:r>
          </w:p>
        </w:tc>
        <w:tc>
          <w:tcPr>
            <w:tcW w:w="13574" w:type="dxa"/>
            <w:gridSpan w:val="7"/>
            <w:tcBorders>
              <w:right w:val="nil"/>
            </w:tcBorders>
          </w:tcPr>
          <w:p>
            <w:pPr>
              <w:pStyle w:val="Style29"/>
              <w:keepNext w:val="true"/>
              <w:keepLines w:val="false"/>
              <w:widowControl w:val="false"/>
              <w:suppressAutoHyphens w:val="true"/>
              <w:spacing w:before="40" w:after="40"/>
              <w:jc w:val="center"/>
              <w:rPr>
                <w:b w:val="false"/>
                <w:bCs/>
                <w:sz w:val="24"/>
                <w:szCs w:val="24"/>
              </w:rPr>
            </w:pPr>
            <w:r>
              <w:rPr>
                <w:rFonts w:eastAsia="Calibri" w:cs=""/>
                <w:b/>
                <w:bCs/>
                <w:kern w:val="0"/>
                <w:sz w:val="24"/>
                <w:szCs w:val="24"/>
                <w:lang w:val="ru-RU" w:eastAsia="en-US" w:bidi="ar-SA"/>
              </w:rPr>
              <w:t>Официальное размещение Извещения и Документации о закупке (подраздел </w:t>
            </w:r>
            <w:r>
              <w:rPr>
                <w:rFonts w:eastAsia="Calibri" w:cs=""/>
                <w:b/>
                <w:bCs/>
                <w:kern w:val="0"/>
                <w:sz w:val="24"/>
                <w:szCs w:val="24"/>
                <w:lang w:val="ru-RU" w:eastAsia="en-US" w:bidi="ar-SA"/>
              </w:rPr>
              <w:fldChar w:fldCharType="begin"/>
            </w:r>
            <w:r>
              <w:rPr>
                <w:sz w:val="24"/>
                <w:b/>
                <w:kern w:val="0"/>
                <w:szCs w:val="24"/>
                <w:bCs/>
                <w:rFonts w:eastAsia="Calibri" w:cs=""/>
                <w:lang w:val="ru-RU" w:eastAsia="en-US" w:bidi="ar-SA"/>
              </w:rPr>
              <w:instrText xml:space="preserve"> REF _Ref130286532 \r \h </w:instrText>
            </w:r>
            <w:r>
              <w:rPr>
                <w:sz w:val="24"/>
                <w:b/>
                <w:kern w:val="0"/>
                <w:szCs w:val="24"/>
                <w:bCs/>
                <w:rFonts w:eastAsia="Calibri" w:cs=""/>
                <w:lang w:val="ru-RU" w:eastAsia="en-US" w:bidi="ar-SA"/>
              </w:rPr>
              <w:fldChar w:fldCharType="separate"/>
            </w:r>
            <w:r>
              <w:rPr>
                <w:sz w:val="24"/>
                <w:b/>
                <w:kern w:val="0"/>
                <w:szCs w:val="24"/>
                <w:bCs/>
                <w:rFonts w:eastAsia="Calibri" w:cs=""/>
                <w:lang w:val="ru-RU" w:eastAsia="en-US" w:bidi="ar-SA"/>
              </w:rPr>
              <w:t>4.2</w:t>
            </w:r>
            <w:r>
              <w:rPr>
                <w:sz w:val="24"/>
                <w:b/>
                <w:kern w:val="0"/>
                <w:szCs w:val="24"/>
                <w:bCs/>
                <w:rFonts w:eastAsia="Calibri" w:cs=""/>
                <w:lang w:val="ru-RU" w:eastAsia="en-US" w:bidi="ar-SA"/>
              </w:rPr>
              <w:fldChar w:fldCharType="end"/>
            </w:r>
            <w:r>
              <w:rPr>
                <w:rFonts w:eastAsia="Calibri" w:cs=""/>
                <w:b/>
                <w:bCs/>
                <w:kern w:val="0"/>
                <w:sz w:val="24"/>
                <w:szCs w:val="24"/>
                <w:lang w:val="ru-RU" w:eastAsia="en-US" w:bidi="ar-SA"/>
              </w:rPr>
              <w:t>)</w:t>
            </w:r>
          </w:p>
        </w:tc>
      </w:tr>
      <w:tr>
        <w:trPr/>
        <w:tc>
          <w:tcPr>
            <w:tcW w:w="428" w:type="dxa"/>
            <w:tcBorders>
              <w:left w:val="nil"/>
            </w:tcBorders>
            <w:vAlign w:val="bottom"/>
          </w:tcPr>
          <w:p>
            <w:pPr>
              <w:pStyle w:val="Style29"/>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6668" w:type="dxa"/>
            <w:gridSpan w:val="4"/>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Подготовка заявки (раздел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_Ref130281199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409" w:type="dxa"/>
            <w:vMerge w:val="restart"/>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Предоставление разъяснений положений Документации о закупке</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_Ref130394802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67" w:type="dxa"/>
            <w:vMerge w:val="restart"/>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Внесение изменений в Извещение и (или) Документацию о закупке</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_Ref125362076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4.5</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30" w:type="dxa"/>
            <w:vMerge w:val="restart"/>
            <w:tcBorders>
              <w:right w:val="nil"/>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Отказ от проведения закупки (отмена закупки)</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_Ref126141962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r>
        <w:trPr/>
        <w:tc>
          <w:tcPr>
            <w:tcW w:w="428" w:type="dxa"/>
            <w:tcBorders>
              <w:left w:val="nil"/>
            </w:tcBorders>
            <w:vAlign w:val="bottom"/>
          </w:tcPr>
          <w:p>
            <w:pPr>
              <w:pStyle w:val="Style29"/>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333" w:type="dxa"/>
            <w:gridSpan w:val="2"/>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Подача заявок и их прием</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_Ref125362119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335" w:type="dxa"/>
            <w:gridSpan w:val="2"/>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Изменение и отзыв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_Ref125362130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4.7</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409" w:type="dxa"/>
            <w:vMerge w:val="continue"/>
            <w:tcBorders/>
          </w:tcPr>
          <w:p>
            <w:pPr>
              <w:pStyle w:val="Style29"/>
              <w:widowControl w:val="false"/>
              <w:suppressAutoHyphens w:val="true"/>
              <w:spacing w:before="40" w:after="40"/>
              <w:jc w:val="center"/>
              <w:rPr>
                <w:bCs/>
                <w:sz w:val="24"/>
                <w:szCs w:val="24"/>
              </w:rPr>
            </w:pPr>
            <w:r>
              <w:rPr>
                <w:bCs/>
                <w:sz w:val="24"/>
                <w:szCs w:val="24"/>
              </w:rPr>
            </w:r>
          </w:p>
        </w:tc>
        <w:tc>
          <w:tcPr>
            <w:tcW w:w="2267" w:type="dxa"/>
            <w:vMerge w:val="continue"/>
            <w:tcBorders/>
          </w:tcPr>
          <w:p>
            <w:pPr>
              <w:pStyle w:val="Style29"/>
              <w:widowControl w:val="false"/>
              <w:suppressAutoHyphens w:val="true"/>
              <w:spacing w:before="40" w:after="40"/>
              <w:jc w:val="center"/>
              <w:rPr>
                <w:bCs/>
                <w:sz w:val="24"/>
                <w:szCs w:val="24"/>
              </w:rPr>
            </w:pPr>
            <w:r>
              <w:rPr>
                <w:bCs/>
                <w:sz w:val="24"/>
                <w:szCs w:val="24"/>
              </w:rPr>
            </w:r>
          </w:p>
        </w:tc>
        <w:tc>
          <w:tcPr>
            <w:tcW w:w="2230" w:type="dxa"/>
            <w:vMerge w:val="continue"/>
            <w:tcBorders>
              <w:right w:val="nil"/>
            </w:tcBorders>
            <w:vAlign w:val="bottom"/>
          </w:tcPr>
          <w:p>
            <w:pPr>
              <w:pStyle w:val="Style29"/>
              <w:widowControl w:val="false"/>
              <w:suppressAutoHyphens w:val="true"/>
              <w:spacing w:before="40" w:after="40"/>
              <w:jc w:val="center"/>
              <w:rPr>
                <w:bCs/>
                <w:sz w:val="24"/>
                <w:szCs w:val="24"/>
              </w:rPr>
            </w:pPr>
            <w:r>
              <w:rPr>
                <w:bCs/>
                <w:sz w:val="24"/>
                <w:szCs w:val="24"/>
              </w:rPr>
            </w:r>
          </w:p>
        </w:tc>
      </w:tr>
      <w:tr>
        <w:trPr/>
        <w:tc>
          <w:tcPr>
            <w:tcW w:w="428" w:type="dxa"/>
            <w:tcBorders>
              <w:left w:val="nil"/>
            </w:tcBorders>
            <w:vAlign w:val="bottom"/>
          </w:tcPr>
          <w:p>
            <w:pPr>
              <w:pStyle w:val="Style29"/>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11344" w:type="dxa"/>
            <w:gridSpan w:val="6"/>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Открытие доступа к заявкам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_Ref130221619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4.8</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30" w:type="dxa"/>
            <w:vMerge w:val="restart"/>
            <w:tcBorders>
              <w:right w:val="nil"/>
            </w:tcBorders>
            <w:vAlign w:val="center"/>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Отказ от проведения закупки (отмена закупки) по обстоятельствам непреодолимой силы в соответствии с гражданским законодательством</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_Ref126141962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r>
        <w:trPr/>
        <w:tc>
          <w:tcPr>
            <w:tcW w:w="428" w:type="dxa"/>
            <w:tcBorders>
              <w:left w:val="nil"/>
            </w:tcBorders>
            <w:vAlign w:val="bottom"/>
          </w:tcPr>
          <w:p>
            <w:pPr>
              <w:pStyle w:val="Style29"/>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333" w:type="dxa"/>
            <w:gridSpan w:val="2"/>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Рассмотрение заявок (отборочная стадия), в том числе (при необходимости) проведение аккредитации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_Ref125362364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4.9</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335" w:type="dxa"/>
            <w:gridSpan w:val="2"/>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(предоставление национального режима или запрета)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_Ref130985951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409" w:type="dxa"/>
            <w:vMerge w:val="restart"/>
            <w:tcBorders/>
            <w:vAlign w:val="center"/>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Направление дополнительных запросов разъяснений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_Ref125362381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4.10</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67" w:type="dxa"/>
            <w:vMerge w:val="restart"/>
            <w:tcBorders/>
            <w:vAlign w:val="center"/>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Признание закупки</w:t>
              <w:br/>
              <w:t>несостоявшейся</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_Ref125364149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4.15</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30" w:type="dxa"/>
            <w:vMerge w:val="continue"/>
            <w:tcBorders>
              <w:right w:val="nil"/>
            </w:tcBorders>
          </w:tcPr>
          <w:p>
            <w:pPr>
              <w:pStyle w:val="Style29"/>
              <w:widowControl w:val="false"/>
              <w:suppressAutoHyphens w:val="true"/>
              <w:spacing w:before="40" w:after="40"/>
              <w:jc w:val="center"/>
              <w:rPr>
                <w:bCs/>
                <w:sz w:val="24"/>
                <w:szCs w:val="24"/>
              </w:rPr>
            </w:pPr>
            <w:r>
              <w:rPr>
                <w:bCs/>
                <w:sz w:val="24"/>
                <w:szCs w:val="24"/>
              </w:rPr>
            </w:r>
          </w:p>
        </w:tc>
      </w:tr>
      <w:tr>
        <w:trPr/>
        <w:tc>
          <w:tcPr>
            <w:tcW w:w="428" w:type="dxa"/>
            <w:tcBorders>
              <w:left w:val="nil"/>
            </w:tcBorders>
            <w:vAlign w:val="bottom"/>
          </w:tcPr>
          <w:p>
            <w:pPr>
              <w:pStyle w:val="Style29"/>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6668" w:type="dxa"/>
            <w:gridSpan w:val="4"/>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Переторжка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_Ref127536359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4.11</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409" w:type="dxa"/>
            <w:vMerge w:val="continue"/>
            <w:tcBorders/>
          </w:tcPr>
          <w:p>
            <w:pPr>
              <w:pStyle w:val="Style29"/>
              <w:widowControl w:val="false"/>
              <w:suppressAutoHyphens w:val="true"/>
              <w:spacing w:before="40" w:after="40"/>
              <w:jc w:val="center"/>
              <w:rPr>
                <w:bCs/>
                <w:sz w:val="24"/>
                <w:szCs w:val="24"/>
              </w:rPr>
            </w:pPr>
            <w:r>
              <w:rPr>
                <w:bCs/>
                <w:sz w:val="24"/>
                <w:szCs w:val="24"/>
              </w:rPr>
            </w:r>
          </w:p>
        </w:tc>
        <w:tc>
          <w:tcPr>
            <w:tcW w:w="2267" w:type="dxa"/>
            <w:vMerge w:val="continue"/>
            <w:tcBorders/>
          </w:tcPr>
          <w:p>
            <w:pPr>
              <w:pStyle w:val="Style29"/>
              <w:widowControl w:val="false"/>
              <w:suppressAutoHyphens w:val="true"/>
              <w:spacing w:before="40" w:after="40"/>
              <w:jc w:val="center"/>
              <w:rPr>
                <w:bCs/>
                <w:sz w:val="24"/>
                <w:szCs w:val="24"/>
              </w:rPr>
            </w:pPr>
            <w:r>
              <w:rPr>
                <w:bCs/>
                <w:sz w:val="24"/>
                <w:szCs w:val="24"/>
              </w:rPr>
            </w:r>
          </w:p>
        </w:tc>
        <w:tc>
          <w:tcPr>
            <w:tcW w:w="2230" w:type="dxa"/>
            <w:vMerge w:val="continue"/>
            <w:tcBorders>
              <w:right w:val="nil"/>
            </w:tcBorders>
          </w:tcPr>
          <w:p>
            <w:pPr>
              <w:pStyle w:val="Style29"/>
              <w:widowControl w:val="false"/>
              <w:suppressAutoHyphens w:val="true"/>
              <w:spacing w:before="40" w:after="40"/>
              <w:jc w:val="center"/>
              <w:rPr>
                <w:bCs/>
                <w:sz w:val="24"/>
                <w:szCs w:val="24"/>
              </w:rPr>
            </w:pPr>
            <w:r>
              <w:rPr>
                <w:bCs/>
                <w:sz w:val="24"/>
                <w:szCs w:val="24"/>
              </w:rPr>
            </w:r>
          </w:p>
        </w:tc>
      </w:tr>
      <w:tr>
        <w:trPr>
          <w:trHeight w:val="881" w:hRule="atLeast"/>
        </w:trPr>
        <w:tc>
          <w:tcPr>
            <w:tcW w:w="428" w:type="dxa"/>
            <w:tcBorders>
              <w:left w:val="nil"/>
            </w:tcBorders>
            <w:vAlign w:val="bottom"/>
          </w:tcPr>
          <w:p>
            <w:pPr>
              <w:pStyle w:val="Style29"/>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333" w:type="dxa"/>
            <w:gridSpan w:val="2"/>
            <w:tcBorders/>
            <w:vAlign w:val="center"/>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Оценка и сопоставление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_Ref125362626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4.12</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335" w:type="dxa"/>
            <w:gridSpan w:val="2"/>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(в части учета установленного преимущества в цене предложения, если применимо)</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_Ref130985951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409" w:type="dxa"/>
            <w:vMerge w:val="continue"/>
            <w:tcBorders/>
          </w:tcPr>
          <w:p>
            <w:pPr>
              <w:pStyle w:val="Style29"/>
              <w:widowControl w:val="false"/>
              <w:suppressAutoHyphens w:val="true"/>
              <w:spacing w:before="40" w:after="40"/>
              <w:jc w:val="center"/>
              <w:rPr>
                <w:bCs/>
                <w:sz w:val="24"/>
                <w:szCs w:val="24"/>
              </w:rPr>
            </w:pPr>
            <w:r>
              <w:rPr>
                <w:bCs/>
                <w:sz w:val="24"/>
                <w:szCs w:val="24"/>
              </w:rPr>
            </w:r>
          </w:p>
        </w:tc>
        <w:tc>
          <w:tcPr>
            <w:tcW w:w="2267" w:type="dxa"/>
            <w:vMerge w:val="continue"/>
            <w:tcBorders/>
          </w:tcPr>
          <w:p>
            <w:pPr>
              <w:pStyle w:val="Style29"/>
              <w:widowControl w:val="false"/>
              <w:suppressAutoHyphens w:val="true"/>
              <w:spacing w:before="40" w:after="40"/>
              <w:jc w:val="center"/>
              <w:rPr>
                <w:bCs/>
                <w:sz w:val="24"/>
                <w:szCs w:val="24"/>
              </w:rPr>
            </w:pPr>
            <w:r>
              <w:rPr>
                <w:bCs/>
                <w:sz w:val="24"/>
                <w:szCs w:val="24"/>
              </w:rPr>
            </w:r>
          </w:p>
        </w:tc>
        <w:tc>
          <w:tcPr>
            <w:tcW w:w="2230" w:type="dxa"/>
            <w:vMerge w:val="continue"/>
            <w:tcBorders>
              <w:right w:val="nil"/>
            </w:tcBorders>
          </w:tcPr>
          <w:p>
            <w:pPr>
              <w:pStyle w:val="Style29"/>
              <w:widowControl w:val="false"/>
              <w:suppressAutoHyphens w:val="true"/>
              <w:spacing w:before="40" w:after="40"/>
              <w:jc w:val="center"/>
              <w:rPr>
                <w:bCs/>
                <w:sz w:val="24"/>
                <w:szCs w:val="24"/>
              </w:rPr>
            </w:pPr>
            <w:r>
              <w:rPr>
                <w:bCs/>
                <w:sz w:val="24"/>
                <w:szCs w:val="24"/>
              </w:rPr>
            </w:r>
          </w:p>
        </w:tc>
      </w:tr>
      <w:tr>
        <w:trPr/>
        <w:tc>
          <w:tcPr>
            <w:tcW w:w="428" w:type="dxa"/>
            <w:tcBorders>
              <w:left w:val="nil"/>
            </w:tcBorders>
            <w:vAlign w:val="bottom"/>
          </w:tcPr>
          <w:p>
            <w:pPr>
              <w:pStyle w:val="Style29"/>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9077" w:type="dxa"/>
            <w:gridSpan w:val="5"/>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Подведение итогов закупки (определение Победителя)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_Ref125362658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7" w:type="dxa"/>
            <w:vMerge w:val="continue"/>
            <w:tcBorders/>
          </w:tcPr>
          <w:p>
            <w:pPr>
              <w:pStyle w:val="Style29"/>
              <w:widowControl w:val="false"/>
              <w:suppressAutoHyphens w:val="true"/>
              <w:spacing w:before="40" w:after="40"/>
              <w:jc w:val="center"/>
              <w:rPr>
                <w:bCs/>
                <w:sz w:val="24"/>
                <w:szCs w:val="24"/>
              </w:rPr>
            </w:pPr>
            <w:r>
              <w:rPr>
                <w:bCs/>
                <w:sz w:val="24"/>
                <w:szCs w:val="24"/>
              </w:rPr>
            </w:r>
          </w:p>
        </w:tc>
        <w:tc>
          <w:tcPr>
            <w:tcW w:w="2230" w:type="dxa"/>
            <w:vMerge w:val="continue"/>
            <w:tcBorders>
              <w:right w:val="nil"/>
            </w:tcBorders>
          </w:tcPr>
          <w:p>
            <w:pPr>
              <w:pStyle w:val="Style29"/>
              <w:widowControl w:val="false"/>
              <w:suppressAutoHyphens w:val="true"/>
              <w:spacing w:before="40" w:after="40"/>
              <w:jc w:val="center"/>
              <w:rPr>
                <w:bCs/>
                <w:sz w:val="24"/>
                <w:szCs w:val="24"/>
              </w:rPr>
            </w:pPr>
            <w:r>
              <w:rPr>
                <w:bCs/>
                <w:sz w:val="24"/>
                <w:szCs w:val="24"/>
              </w:rPr>
            </w:r>
          </w:p>
        </w:tc>
      </w:tr>
      <w:tr>
        <w:trPr/>
        <w:tc>
          <w:tcPr>
            <w:tcW w:w="428" w:type="dxa"/>
            <w:tcBorders>
              <w:left w:val="nil"/>
            </w:tcBorders>
            <w:vAlign w:val="bottom"/>
          </w:tcPr>
          <w:p>
            <w:pPr>
              <w:pStyle w:val="Style29"/>
              <w:widowControl w:val="false"/>
              <w:suppressAutoHyphens w:val="true"/>
              <w:spacing w:before="40" w:after="40"/>
              <w:jc w:val="center"/>
              <w:rPr>
                <w:bCs/>
                <w:sz w:val="24"/>
                <w:szCs w:val="24"/>
                <w:u w:val="single"/>
              </w:rPr>
            </w:pPr>
            <w:r>
              <w:rPr>
                <w:rFonts w:eastAsia="Wingdings 3" w:cs="Wingdings 3" w:ascii="Wingdings 3" w:hAnsi="Wingdings 3"/>
                <w:bCs/>
                <w:kern w:val="0"/>
                <w:sz w:val="24"/>
                <w:szCs w:val="24"/>
                <w:u w:val="single"/>
                <w:lang w:val="ru-RU" w:eastAsia="en-US" w:bidi="ar-SA"/>
              </w:rPr>
              <w:sym w:font="Wingdings 3" w:char="f0d4"/>
            </w:r>
          </w:p>
        </w:tc>
        <w:tc>
          <w:tcPr>
            <w:tcW w:w="2221" w:type="dxa"/>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Заключение Договора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_Ref138232981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5.2</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21" w:type="dxa"/>
            <w:gridSpan w:val="2"/>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(в части ограничения на стадии заключения договора)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_Ref130985951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4635" w:type="dxa"/>
            <w:gridSpan w:val="2"/>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Проведение преддоговорных переговоров</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_Ref125552570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4497" w:type="dxa"/>
            <w:gridSpan w:val="2"/>
            <w:tcBorders>
              <w:right w:val="nil"/>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Уклонение Победителя</w:t>
              <w:br/>
              <w:t>от заключения Договора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_Ref125367068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bl>
    <w:p>
      <w:pPr>
        <w:sectPr>
          <w:headerReference w:type="default" r:id="rId10"/>
          <w:headerReference w:type="first" r:id="rId11"/>
          <w:footerReference w:type="default" r:id="rId12"/>
          <w:footerReference w:type="first" r:id="rId13"/>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Pr>
    </w:p>
    <w:p>
      <w:pPr>
        <w:pStyle w:val="Style24"/>
        <w:rPr/>
      </w:pPr>
      <w:bookmarkStart w:id="103" w:name="_Toc220500985"/>
      <w:bookmarkStart w:id="104" w:name="_Ref130286532"/>
      <w:r>
        <w:rPr/>
        <w:t>Официальное размещение Извещения и Документации о закупке</w:t>
      </w:r>
      <w:bookmarkEnd w:id="103"/>
      <w:bookmarkEnd w:id="104"/>
    </w:p>
    <w:p>
      <w:pPr>
        <w:pStyle w:val="Style25"/>
        <w:rPr/>
      </w:pPr>
      <w:r>
        <w:rPr/>
        <w:t>Извещение и Документация о закупке официально размещены на ЭП и доступны для ознакомления без взимания платы. Иные публикации не влекут для Организатора никаких последствий.</w:t>
      </w:r>
    </w:p>
    <w:p>
      <w:pPr>
        <w:pStyle w:val="Style25"/>
        <w:rPr/>
      </w:pPr>
      <w:r>
        <w:rPr/>
        <w:t>При возникновении технических или иных неполадок, блокирующих доступ к ЭП в течение более чем 1 (одного) рабочего дня, информация размещается на официальном сайте Заказчика с последующим размещением ее на ЭП в течение 1 (одного) рабочего дня со дня устранения указанных неполадок.</w:t>
      </w:r>
    </w:p>
    <w:p>
      <w:pPr>
        <w:pStyle w:val="Style25"/>
        <w:rPr/>
      </w:pPr>
      <w:bookmarkStart w:id="105" w:name="_Ref125362785"/>
      <w:r>
        <w:rPr/>
        <w:t>Порядок получения информации через ЭП определяется Регламентом ЭП, с использованием которой проводится закупка.</w:t>
      </w:r>
      <w:bookmarkEnd w:id="105"/>
    </w:p>
    <w:p>
      <w:pPr>
        <w:pStyle w:val="Style25"/>
        <w:rPr/>
      </w:pPr>
      <w:r>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p>
    <w:p>
      <w:pPr>
        <w:pStyle w:val="Style24"/>
        <w:rPr/>
      </w:pPr>
      <w:bookmarkStart w:id="106" w:name="_Ref130394681"/>
      <w:bookmarkStart w:id="107" w:name="_Toc220500986"/>
      <w:bookmarkStart w:id="108" w:name="_Ref130281199"/>
      <w:r>
        <w:rPr/>
        <w:t>Подготовка заявки</w:t>
      </w:r>
      <w:bookmarkEnd w:id="106"/>
      <w:bookmarkEnd w:id="107"/>
      <w:bookmarkEnd w:id="108"/>
    </w:p>
    <w:p>
      <w:pPr>
        <w:pStyle w:val="Style25"/>
        <w:rPr/>
      </w:pPr>
      <w:r>
        <w:rPr/>
        <w:t>Участник должен подготовить заявку с учетом требований Документации о закупке.</w:t>
      </w:r>
    </w:p>
    <w:p>
      <w:pPr>
        <w:pStyle w:val="Style25"/>
        <w:rPr/>
      </w:pPr>
      <w:r>
        <w:rPr/>
        <w:t>Участник самостоятельно несет все расходы, связанные с подготовкой и подачей заявки (подраздел </w:t>
      </w:r>
      <w:r>
        <w:rPr/>
        <w:fldChar w:fldCharType="begin"/>
      </w:r>
      <w:r>
        <w:rPr/>
        <w:instrText xml:space="preserve"> REF _Ref125362119 \r \h </w:instrText>
      </w:r>
      <w:r>
        <w:rPr/>
        <w:fldChar w:fldCharType="separate"/>
      </w:r>
      <w:r>
        <w:rPr/>
        <w:t>4.6</w:t>
      </w:r>
      <w:r>
        <w:rPr/>
        <w:fldChar w:fldCharType="end"/>
      </w:r>
      <w:r>
        <w:rPr/>
        <w:t>), а Организатор (Заказчик) по этим расходам не отвечает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p>
    <w:p>
      <w:pPr>
        <w:pStyle w:val="Style25"/>
        <w:rPr/>
      </w:pPr>
      <w:r>
        <w:rPr/>
        <w:t xml:space="preserve">Участник должен подготовить заявку, включающую в себя полный комплект документов согласно перечню, определенному </w:t>
      </w:r>
      <w:hyperlink w:anchor="Прил06_СоставЗаявки">
        <w:r>
          <w:rPr>
            <w:rStyle w:val="Style14"/>
          </w:rPr>
          <w:t>Приложением № 6 – Состав заявки</w:t>
        </w:r>
      </w:hyperlink>
      <w:r>
        <w:rPr/>
        <w:t xml:space="preserve">. Образцы форм документов, включаемых в состав заявки, а также инструкции по их подготовке, приведены в </w:t>
      </w:r>
      <w:hyperlink w:anchor="Прил04_ФормыЗаявки">
        <w:r>
          <w:rPr>
            <w:rStyle w:val="Style14"/>
          </w:rPr>
          <w:t>Приложение № 4</w:t>
        </w:r>
      </w:hyperlink>
      <w:r>
        <w:rPr/>
        <w:t>.</w:t>
      </w:r>
    </w:p>
    <w:p>
      <w:pPr>
        <w:pStyle w:val="Style25"/>
        <w:rPr/>
      </w:pPr>
      <w:bookmarkStart w:id="109" w:name="_Ref130394854"/>
      <w:bookmarkStart w:id="110" w:name="_Ref125365866"/>
      <w:r>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09"/>
      <w:bookmarkEnd w:id="110"/>
    </w:p>
    <w:p>
      <w:pPr>
        <w:pStyle w:val="Style25"/>
        <w:rPr/>
      </w:pPr>
      <w:r>
        <w:rPr/>
        <w:t>Заявка должна быть действительна в течение срока проведения закупки и до истечения срока, отведенного на заключение Договора (пункт </w:t>
      </w:r>
      <w:r>
        <w:rPr/>
        <w:fldChar w:fldCharType="begin"/>
      </w:r>
      <w:r>
        <w:rPr/>
        <w:instrText xml:space="preserve"> REF _Ref130293821 \r \h </w:instrText>
      </w:r>
      <w:r>
        <w:rPr/>
        <w:fldChar w:fldCharType="separate"/>
      </w:r>
      <w:r>
        <w:rPr/>
        <w:t>5.2.1</w:t>
      </w:r>
      <w:r>
        <w:rPr/>
        <w:fldChar w:fldCharType="end"/>
      </w:r>
      <w:r>
        <w:rPr/>
        <w:t>). В любом случае этот срок должен быть не менее чем 90 (девяносто) календарных дней с даты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Указание меньшего срока действия заявки в Письме о подаче оферты (форма 2) (</w:t>
      </w:r>
      <w:hyperlink w:anchor="Прил04_ФормыЗаявки">
        <w:r>
          <w:rPr>
            <w:rStyle w:val="Style14"/>
          </w:rPr>
          <w:t>Приложение № 4</w:t>
        </w:r>
      </w:hyperlink>
      <w:r>
        <w:rPr/>
        <w:t>) может служить основанием для отклонения заявки.</w:t>
      </w:r>
    </w:p>
    <w:p>
      <w:pPr>
        <w:pStyle w:val="Style25"/>
        <w:rPr/>
      </w:pPr>
      <w:r>
        <w:rPr/>
        <w:t>Все документы, входящие в состав заявки, должны быть подготовлены на русском языке. Исключение составляют документы, оригиналы которых выданы Участнику третьими лицами на ином языке: они могут быть представлены на языке оригинала при условии, что к ним приложен перевод этих документов на русский язык (в специально оговоренных случаях – с апостилем согласно Гаагской конвенции 1961 года).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 рассматривать документы, не переведенные на русский язык.</w:t>
      </w:r>
    </w:p>
    <w:p>
      <w:pPr>
        <w:pStyle w:val="Style25"/>
        <w:rPr/>
      </w:pPr>
      <w:r>
        <w:rPr/>
        <w:t>Все суммы денежных средств в документах, входящих в состав заявки, должны быть выражены в российских рублях. Исключение составляют документы, оригиналы которых выданы Участнику третьими лицами с выражением сумм денежных средств в иных валютах: они могут быть представлены в валюте оригинала при условии, что к ним будут приложены комментарии с переводом этих сумм в российские рубли (по официальному курсу валюты, установленному Центральным банком Российской Федерации на дату выдачи документа, с указанием такого курса).</w:t>
      </w:r>
    </w:p>
    <w:p>
      <w:pPr>
        <w:pStyle w:val="Style25"/>
        <w:rPr/>
      </w:pPr>
      <w:bookmarkStart w:id="111" w:name="_Ref125370700"/>
      <w:bookmarkStart w:id="112" w:name="_Ref125370708"/>
      <w:bookmarkEnd w:id="111"/>
      <w:bookmarkEnd w:id="112"/>
      <w:r>
        <w:rPr/>
        <w:t>Итоговая стоимость заявки (цена Договора) без учета НДС не должна превышать установленную Заказчиком НМЦ (подраздел </w:t>
      </w:r>
      <w:r>
        <w:rPr/>
        <w:fldChar w:fldCharType="begin"/>
      </w:r>
      <w:r>
        <w:rPr/>
        <w:instrText xml:space="preserve"> REF _Ref125359973 \r \h </w:instrText>
      </w:r>
      <w:r>
        <w:rPr/>
        <w:fldChar w:fldCharType="separate"/>
      </w:r>
      <w:r>
        <w:rPr/>
        <w:t>1.2</w:t>
      </w:r>
      <w:r>
        <w:rPr/>
        <w:fldChar w:fldCharType="end"/>
      </w:r>
      <w:r>
        <w:rPr/>
        <w:t>), в противном случае заявка будет отклонена.</w:t>
      </w:r>
    </w:p>
    <w:p>
      <w:pPr>
        <w:pStyle w:val="Style25"/>
        <w:rPr/>
      </w:pPr>
      <w:r>
        <w:rPr/>
        <w:t xml:space="preserve">Итоговая стоимость заявки (цена Договора) должна включать в себя сумму всех расходов, предусмотренных </w:t>
      </w:r>
      <w:hyperlink w:anchor="Прил01_ТехТребования">
        <w:r>
          <w:rPr>
            <w:rStyle w:val="Style14"/>
          </w:rPr>
          <w:t>Техническими требованиями (Приложение № 1)</w:t>
        </w:r>
      </w:hyperlink>
      <w:r>
        <w:rPr/>
        <w:t xml:space="preserve"> и </w:t>
      </w:r>
      <w:hyperlink w:anchor="Прил02_ПроектДоговора">
        <w:r>
          <w:rPr>
            <w:rStyle w:val="Style14"/>
          </w:rPr>
          <w:t>Проектом договора (Приложение № 2)</w:t>
        </w:r>
      </w:hyperlink>
      <w:r>
        <w:rPr/>
        <w:t>,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 этом сумма НДС (в случае его уплаты) выделяется отдельно и не входит в итоговую стоимость заявки Участника, являющегося плательщиком НДС.</w:t>
      </w:r>
    </w:p>
    <w:p>
      <w:pPr>
        <w:pStyle w:val="Style25"/>
        <w:rPr/>
      </w:pPr>
      <w:bookmarkStart w:id="113" w:name="_Ref130379863"/>
      <w:bookmarkStart w:id="114" w:name="_Ref125370708_Копия_1"/>
      <w:bookmarkStart w:id="115" w:name="_Ref125370700_Копия_1"/>
      <w:bookmarkEnd w:id="114"/>
      <w:bookmarkEnd w:id="115"/>
      <w:r>
        <w:rPr/>
        <w:t xml:space="preserve">Участник в составе заявки предоставляет по установленной форме Технического предложения (форма 4; </w:t>
      </w:r>
      <w:hyperlink w:anchor="Прил04_ФормыЗаявки">
        <w:r>
          <w:rPr>
            <w:rStyle w:val="Style14"/>
          </w:rPr>
          <w:t>Приложение № 4</w:t>
        </w:r>
      </w:hyperlink>
      <w:r>
        <w:rPr/>
        <w:t xml:space="preserve">) подробное предложение в отношении поставляемой продукции на условиях, указанных в Документации о закупке, в том числе в </w:t>
      </w:r>
      <w:hyperlink w:anchor="Прил01_ТехТребования">
        <w:r>
          <w:rPr>
            <w:rStyle w:val="Style14"/>
          </w:rPr>
          <w:t>Технических требованиях (Приложение № 1)</w:t>
        </w:r>
      </w:hyperlink>
      <w:r>
        <w:rPr/>
        <w:t>.</w:t>
      </w:r>
      <w:bookmarkEnd w:id="113"/>
    </w:p>
    <w:p>
      <w:pPr>
        <w:pStyle w:val="Style25"/>
        <w:rPr/>
      </w:pPr>
      <w:r>
        <w:rPr/>
        <w:t xml:space="preserve">При описании продукции Участник обязан подтвердить соответствие поставляемой продукции требованиям Документации о закупке, в том числе требованиям, установленным в </w:t>
      </w:r>
      <w:hyperlink w:anchor="Прил01_ТехТребования">
        <w:r>
          <w:rPr>
            <w:rStyle w:val="Style14"/>
          </w:rPr>
          <w:t>Технических требованиях (Приложение № 1)</w:t>
        </w:r>
      </w:hyperlink>
      <w:r>
        <w:rPr/>
        <w:t>, в отношении всех показателей, которые в ней установлены. При этом должны указываться точные и не допускающие двусмысленного толкования показатели.</w:t>
      </w:r>
    </w:p>
    <w:p>
      <w:pPr>
        <w:pStyle w:val="Style25"/>
        <w:rPr/>
      </w:pPr>
      <w:r>
        <w:rPr/>
        <w:t xml:space="preserve">Если в </w:t>
      </w:r>
      <w:hyperlink w:anchor="Прил01_ТехТребования">
        <w:r>
          <w:rPr>
            <w:rStyle w:val="Style14"/>
          </w:rPr>
          <w:t>Технических требованиях (Приложение № 1)</w:t>
        </w:r>
      </w:hyperlink>
      <w:r>
        <w:rPr/>
        <w:t xml:space="preserve"> указаны товарные знаки, знаки обслуживания, фирменные наименования, патенты, полезные модели, промышленные образцы, наименование страны происхождения товара или наименование производителя, сопровождаемые словами «или эквивалент», и Участник предлагает продукцию, являющуюся эквивалентом требуемой, то он при описании продукции обязан подтвердить соответствие предлагаемой продукции показателям эквивалентности, установленным в </w:t>
      </w:r>
      <w:hyperlink w:anchor="Прил01_ТехТребования">
        <w:r>
          <w:rPr>
            <w:rStyle w:val="Style14"/>
          </w:rPr>
          <w:t>Технических требованиях (Приложение № 1)</w:t>
        </w:r>
      </w:hyperlink>
      <w:r>
        <w:rPr/>
        <w:t>.</w:t>
      </w:r>
    </w:p>
    <w:p>
      <w:pPr>
        <w:pStyle w:val="Style25"/>
        <w:rPr/>
      </w:pPr>
      <w:bookmarkStart w:id="116" w:name="_Ref130379876"/>
      <w:r>
        <w:rPr/>
        <w:t xml:space="preserve">При описании продукции Участник должен использовать общеизвестные (стандартные) показатели, термины и сокращения в соответствии с законодательством и </w:t>
      </w:r>
      <w:hyperlink w:anchor="Прил01_ТехТребования">
        <w:r>
          <w:rPr>
            <w:rStyle w:val="Style14"/>
          </w:rPr>
          <w:t>Техническими требованиями (Приложение № 1)</w:t>
        </w:r>
      </w:hyperlink>
      <w:r>
        <w:rPr/>
        <w:t>.</w:t>
      </w:r>
      <w:bookmarkEnd w:id="116"/>
    </w:p>
    <w:p>
      <w:pPr>
        <w:pStyle w:val="Style25"/>
        <w:rPr/>
      </w:pPr>
      <w:bookmarkStart w:id="117" w:name="_Ref130455500"/>
      <w:r>
        <w:rPr/>
        <w:t>В случае нарушения Участником требований к описанию продукции (пункты </w:t>
      </w:r>
      <w:r>
        <w:rPr/>
        <w:fldChar w:fldCharType="begin"/>
      </w:r>
      <w:r>
        <w:rPr/>
        <w:instrText xml:space="preserve"> REF _Ref130379863 \r \h </w:instrText>
      </w:r>
      <w:r>
        <w:rPr/>
        <w:fldChar w:fldCharType="separate"/>
      </w:r>
      <w:r>
        <w:rPr/>
        <w:t>4.3.10</w:t>
      </w:r>
      <w:r>
        <w:rPr/>
        <w:fldChar w:fldCharType="end"/>
      </w:r>
      <w:r>
        <w:rPr/>
        <w:t xml:space="preserve"> – </w:t>
      </w:r>
      <w:r>
        <w:rPr/>
        <w:fldChar w:fldCharType="begin"/>
      </w:r>
      <w:r>
        <w:rPr/>
        <w:instrText xml:space="preserve"> REF _Ref130379876 \r \h </w:instrText>
      </w:r>
      <w:r>
        <w:rPr/>
        <w:fldChar w:fldCharType="separate"/>
      </w:r>
      <w:r>
        <w:rPr/>
        <w:t>4.3.13</w:t>
      </w:r>
      <w:r>
        <w:rPr/>
        <w:fldChar w:fldCharType="end"/>
      </w:r>
      <w:r>
        <w:rPr/>
        <w:t>) Организатор вправе отклонить заявку такого Участника от дальнейшего участия в закупке.</w:t>
      </w:r>
      <w:bookmarkEnd w:id="117"/>
    </w:p>
    <w:p>
      <w:pPr>
        <w:pStyle w:val="Style25"/>
        <w:keepNext w:val="true"/>
        <w:rPr/>
      </w:pPr>
      <w:r>
        <w:rPr/>
        <w:t>Документы, входящие в заявку, не должны содержать недостоверные сведения или намеренно искаженную информацию. Также должны отсутствовать:</w:t>
      </w:r>
    </w:p>
    <w:p>
      <w:pPr>
        <w:pStyle w:val="Style26"/>
        <w:rPr/>
      </w:pPr>
      <w:r>
        <w:rPr/>
        <w:t>внутренние противоречия между различными частями и (или) документами заявки, в том числе по тексту внутри одного документа;</w:t>
      </w:r>
    </w:p>
    <w:p>
      <w:pPr>
        <w:pStyle w:val="Style26"/>
        <w:rPr/>
      </w:pPr>
      <w:bookmarkStart w:id="118" w:name="_Ref125714384"/>
      <w:bookmarkStart w:id="119" w:name="_Ref125370398"/>
      <w:r>
        <w:rPr/>
        <w:t>противоречия между документами заявки и сведениями, указанными Участником в структурированных формах на ЭП.</w:t>
      </w:r>
      <w:bookmarkEnd w:id="118"/>
      <w:bookmarkEnd w:id="119"/>
    </w:p>
    <w:p>
      <w:pPr>
        <w:pStyle w:val="Style25"/>
        <w:rPr/>
      </w:pPr>
      <w:r>
        <w:rPr/>
        <w:t>Представленные в составе заявки документы, оформленные / выданные государственными, лицензирующими, сертификационными, аккредитационными органами и (или) саморегулируемыми организациями, должны соответствовать императивным требованиям (при наличии) законодательства в отношении:</w:t>
      </w:r>
    </w:p>
    <w:p>
      <w:pPr>
        <w:pStyle w:val="Style26"/>
        <w:rPr/>
      </w:pPr>
      <w:r>
        <w:rPr/>
        <w:t>полномочий таких органов / лиц на оформление этих документов;</w:t>
      </w:r>
    </w:p>
    <w:p>
      <w:pPr>
        <w:pStyle w:val="Style26"/>
        <w:rPr/>
      </w:pPr>
      <w:r>
        <w:rPr/>
        <w:t>формы, объема и содержания этих документов.</w:t>
      </w:r>
    </w:p>
    <w:p>
      <w:pPr>
        <w:pStyle w:val="Style25"/>
        <w:keepNext w:val="true"/>
        <w:rPr/>
      </w:pPr>
      <w:r>
        <w:rPr/>
        <w:t>Участник должен подготовить заявку с соблюдением следующих условий:</w:t>
      </w:r>
    </w:p>
    <w:p>
      <w:pPr>
        <w:pStyle w:val="Style26"/>
        <w:rPr/>
      </w:pPr>
      <w:r>
        <w:rPr/>
        <w:t>документы заявки могут предоставляться как в графическом виде (в том числе в виде скан-копии; рекомендуемый формат: *.</w:t>
      </w:r>
      <w:r>
        <w:rPr>
          <w:lang w:val="en-US"/>
        </w:rPr>
        <w:t>pdf</w:t>
      </w:r>
      <w:r>
        <w:rPr/>
        <w:t>), так и в электронном виде (в формате Microsoft Word (*.doc</w:t>
      </w:r>
      <w:r>
        <w:rPr>
          <w:lang w:val="en-US"/>
        </w:rPr>
        <w:t>x</w:t>
      </w:r>
      <w:r>
        <w:rPr/>
        <w:t>), Microsoft Excel (*.xls</w:t>
      </w:r>
      <w:r>
        <w:rPr>
          <w:lang w:val="en-US"/>
        </w:rPr>
        <w:t>x</w:t>
      </w:r>
      <w:r>
        <w:rPr/>
        <w:t>), и других). Исключение составляют документы, выданные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только в графическом виде (в том числе в виде скан-копии; рекомендуемый формат: *.</w:t>
      </w:r>
      <w:r>
        <w:rPr>
          <w:lang w:val="en-US"/>
        </w:rPr>
        <w:t>pdf</w:t>
      </w:r>
      <w:r>
        <w:rPr/>
        <w:t>);</w:t>
      </w:r>
    </w:p>
    <w:p>
      <w:pPr>
        <w:pStyle w:val="Style26"/>
        <w:rPr/>
      </w:pPr>
      <w:r>
        <w:rPr/>
        <w:t>электронные копии документов, заверенные третьей стороной,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pPr>
        <w:pStyle w:val="Style26"/>
        <w:rPr/>
      </w:pPr>
      <w:r>
        <w:rPr/>
        <w:t>все файлы не должны иметь защиты от их открытия, изменения, копирования их содержимого или их печати;</w:t>
      </w:r>
    </w:p>
    <w:p>
      <w:pPr>
        <w:pStyle w:val="Style26"/>
        <w:rPr/>
      </w:pPr>
      <w:r>
        <w:rPr/>
        <w:t>файлы электронной заявки рекомендуется именовать так, чтобы было можно идентифицировать содержание данного файла заявки (указать в названии файла содержащийся в нем документ). Каждый документ рекомендуется размещать в отдельном файле;</w:t>
      </w:r>
    </w:p>
    <w:p>
      <w:pPr>
        <w:pStyle w:val="Style26"/>
        <w:rPr/>
      </w:pPr>
      <w:r>
        <w:rPr/>
        <w:t>если какой-либо документ представлен в нечитаемом виде, данный документ считается непредставленным.</w:t>
      </w:r>
    </w:p>
    <w:p>
      <w:pPr>
        <w:pStyle w:val="Style25"/>
        <w:rPr/>
      </w:pPr>
      <w:r>
        <w:rPr/>
        <w:t>Никакие исправления в документах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p>
    <w:p>
      <w:pPr>
        <w:pStyle w:val="Style24"/>
        <w:rPr/>
      </w:pPr>
      <w:bookmarkStart w:id="120" w:name="_Ref125366672"/>
      <w:bookmarkStart w:id="121" w:name="_Ref125362071"/>
      <w:bookmarkStart w:id="122" w:name="_Ref125361260"/>
      <w:bookmarkStart w:id="123" w:name="_Toc220500987"/>
      <w:bookmarkStart w:id="124" w:name="_Ref130394802"/>
      <w:bookmarkStart w:id="125" w:name="_Ref130394205"/>
      <w:bookmarkStart w:id="126" w:name="_Ref130394785"/>
      <w:r>
        <w:rPr/>
        <w:t>Разъяснение Документации о закупке</w:t>
      </w:r>
      <w:bookmarkEnd w:id="120"/>
      <w:bookmarkEnd w:id="121"/>
      <w:bookmarkEnd w:id="122"/>
      <w:bookmarkEnd w:id="123"/>
      <w:bookmarkEnd w:id="124"/>
      <w:bookmarkEnd w:id="125"/>
      <w:bookmarkEnd w:id="126"/>
    </w:p>
    <w:p>
      <w:pPr>
        <w:pStyle w:val="Style25"/>
        <w:rPr/>
      </w:pPr>
      <w:r>
        <w:rPr/>
        <w:t>Участники вправе обратиться к Организатору за разъяснениями Документации о закупке.</w:t>
      </w:r>
    </w:p>
    <w:p>
      <w:pPr>
        <w:pStyle w:val="Style25"/>
        <w:rPr/>
      </w:pPr>
      <w:r>
        <w:rPr/>
        <w:t>Запросы подаются в соответствии с Регламентами и инструкциями Оператора ЭП, опубликованными на сайте соответствующей ЭП.</w:t>
      </w:r>
    </w:p>
    <w:p>
      <w:pPr>
        <w:pStyle w:val="Style25"/>
        <w:rPr/>
      </w:pPr>
      <w:r>
        <w:rPr/>
        <w:t>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w:t>
      </w:r>
    </w:p>
    <w:p>
      <w:pPr>
        <w:pStyle w:val="Style25"/>
        <w:rPr/>
      </w:pPr>
      <w:r>
        <w:rPr/>
        <w:t>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rPr/>
        <w:fldChar w:fldCharType="begin"/>
      </w:r>
      <w:r>
        <w:rPr/>
        <w:instrText xml:space="preserve"> REF _Ref125359973 \r \h </w:instrText>
      </w:r>
      <w:r>
        <w:rPr/>
        <w:fldChar w:fldCharType="separate"/>
      </w:r>
      <w:r>
        <w:rPr/>
        <w:t>1.2</w:t>
      </w:r>
      <w:r>
        <w:rPr/>
        <w:fldChar w:fldCharType="end"/>
      </w:r>
      <w:r>
        <w:rPr/>
        <w:t>, но в любом случае не позднее чем в течение 3 (трех) рабочих дней с даты поступления такого запроса. Копия ответа размещается Организатором на ЭП.</w:t>
      </w:r>
    </w:p>
    <w:p>
      <w:pPr>
        <w:pStyle w:val="Style25"/>
        <w:rPr/>
      </w:pPr>
      <w:r>
        <w:rPr/>
        <w:t>Организатор также вправе по собственной инициативе (без получения запросов от Участников) официально разместить разъяснения Документации о закупке.</w:t>
      </w:r>
    </w:p>
    <w:p>
      <w:pPr>
        <w:pStyle w:val="Style25"/>
        <w:rPr/>
      </w:pPr>
      <w:r>
        <w:rPr/>
        <w:t xml:space="preserve">Разъяснения Документации о закупке носят справочный характер и не могут изменять предмет закупки и условия </w:t>
      </w:r>
      <w:hyperlink w:anchor="Прил02_ПроектДоговора">
        <w:r>
          <w:rPr>
            <w:rStyle w:val="Style14"/>
          </w:rPr>
          <w:t>Проекта договора (Приложения № 2)</w:t>
        </w:r>
      </w:hyperlink>
      <w:r>
        <w:rPr>
          <w:rStyle w:val="Style14"/>
        </w:rPr>
        <w:t>,</w:t>
      </w:r>
      <w:r>
        <w:rPr/>
        <w:t xml:space="preserve"> в противном случае вносятся изменения в Документацию о закупке. При этом Участники обязаны учитывать разъяснения Организатора при подготовке своих заявок. Все риски и последствия за подачу заявки без учета официально размещенных разъяснений несет Участник.</w:t>
      </w:r>
    </w:p>
    <w:p>
      <w:pPr>
        <w:pStyle w:val="Style25"/>
        <w:rPr/>
      </w:pPr>
      <w:r>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pPr>
        <w:pStyle w:val="Style24"/>
        <w:rPr/>
      </w:pPr>
      <w:bookmarkStart w:id="127" w:name="_Ref125362076"/>
      <w:bookmarkStart w:id="128" w:name="_Ref125363891"/>
      <w:bookmarkStart w:id="129" w:name="_Ref125364404"/>
      <w:bookmarkStart w:id="130" w:name="_Toc220500988"/>
      <w:r>
        <w:rPr/>
        <w:t>Изменения Извещения и (или) Документации о закупке</w:t>
      </w:r>
      <w:bookmarkEnd w:id="127"/>
      <w:bookmarkEnd w:id="128"/>
      <w:bookmarkEnd w:id="129"/>
      <w:bookmarkEnd w:id="130"/>
    </w:p>
    <w:p>
      <w:pPr>
        <w:pStyle w:val="Style25"/>
        <w:rPr/>
      </w:pPr>
      <w:r>
        <w:rPr/>
        <w:t>Организатор в любой момент до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вправе внести изменения в Извещение и (или) Документацию о закупке. При этом официальному размещению подлежит обновленная редакция Извещения и (или) Документации о закупке, а также перечень внесенных изменений в них.</w:t>
      </w:r>
    </w:p>
    <w:p>
      <w:pPr>
        <w:pStyle w:val="Style25"/>
        <w:rPr/>
      </w:pPr>
      <w:bookmarkStart w:id="131" w:name="_Ref125550844"/>
      <w:r>
        <w:rPr/>
        <w:t>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(подраздел </w:t>
      </w:r>
      <w:r>
        <w:rPr/>
        <w:fldChar w:fldCharType="begin"/>
      </w:r>
      <w:r>
        <w:rPr/>
        <w:instrText xml:space="preserve"> REF _Ref125359973 \r \h </w:instrText>
      </w:r>
      <w:r>
        <w:rPr/>
        <w:fldChar w:fldCharType="separate"/>
      </w:r>
      <w:r>
        <w:rPr/>
        <w:t>1.2</w:t>
      </w:r>
      <w:r>
        <w:rPr/>
        <w:fldChar w:fldCharType="end"/>
      </w:r>
      <w:r>
        <w:rPr/>
        <w:t>) в пределах срока действия заявок и с уведомлением Участников, подавших заявки.</w:t>
      </w:r>
      <w:bookmarkEnd w:id="131"/>
    </w:p>
    <w:p>
      <w:pPr>
        <w:pStyle w:val="Style25"/>
        <w:rPr/>
      </w:pPr>
      <w:r>
        <w:rPr/>
        <w:t>Текст изменений официально размещается в течение 3 (трех) календарных дней со дня принятия решения о внесении указанных изменений. Все Участники, официально получившие Документацию о закупке через ЭП, получат соответствующие уведомления в порядке, установленном Регламентом ЭП.</w:t>
      </w:r>
    </w:p>
    <w:p>
      <w:pPr>
        <w:pStyle w:val="Style25"/>
        <w:rPr/>
      </w:pPr>
      <w:bookmarkStart w:id="132" w:name="_Hlk135643673"/>
      <w:r>
        <w:rPr/>
        <w:t>При внесении изменений в Документацию о закупке (за исключением указанного в пункте </w:t>
      </w:r>
      <w:r>
        <w:rPr/>
        <w:fldChar w:fldCharType="begin"/>
      </w:r>
      <w:r>
        <w:rPr/>
        <w:instrText xml:space="preserve"> REF _Ref125550844 \r \h </w:instrText>
      </w:r>
      <w:r>
        <w:rPr/>
        <w:fldChar w:fldCharType="separate"/>
      </w:r>
      <w:r>
        <w:rPr/>
        <w:t>4.5.2</w:t>
      </w:r>
      <w:r>
        <w:rPr/>
        <w:fldChar w:fldCharType="end"/>
      </w:r>
      <w:r>
        <w:rPr/>
        <w:t>),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половины от минимального срока подачи заявок, установленного в Положении о закупке для данного способа, а именно не менее</w:t>
      </w:r>
      <w:bookmarkEnd w:id="132"/>
      <w:r>
        <w:rPr/>
        <w:t xml:space="preserve"> 4 (четырех) рабочих дней.</w:t>
      </w:r>
    </w:p>
    <w:p>
      <w:pPr>
        <w:pStyle w:val="Style25"/>
        <w:rPr/>
      </w:pPr>
      <w:r>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pPr>
        <w:pStyle w:val="Style24"/>
        <w:rPr/>
      </w:pPr>
      <w:bookmarkStart w:id="133" w:name="_Ref125362119"/>
      <w:bookmarkStart w:id="134" w:name="_Toc220500989"/>
      <w:r>
        <w:rPr/>
        <w:t>Подача заявок и их прием</w:t>
      </w:r>
      <w:bookmarkEnd w:id="133"/>
      <w:bookmarkEnd w:id="134"/>
    </w:p>
    <w:p>
      <w:pPr>
        <w:pStyle w:val="Style25"/>
        <w:rPr/>
      </w:pPr>
      <w:r>
        <w:rPr/>
        <w:t>Участник вправе подать одну подготовленную заявку на участие в закупке в любое время начиная с даты официального размещения Извещения и до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Заявки, поданные позднее установленного срока, не могут быть приняты Организатором, независимо от причин опоздания.</w:t>
      </w:r>
    </w:p>
    <w:p>
      <w:pPr>
        <w:pStyle w:val="Style25"/>
        <w:rPr/>
      </w:pPr>
      <w:r>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Документации о закупке (включая все приложения к ней).</w:t>
      </w:r>
    </w:p>
    <w:p>
      <w:pPr>
        <w:pStyle w:val="Style25"/>
        <w:rPr/>
      </w:pPr>
      <w:r>
        <w:rPr/>
        <w:t>Заявка должна быть подготовлена в форме электронного документа и подана с использованием функционала ЭП в доступном для прочтения формате. При этом Участник должен сканировать документы после того, как они будут оформлены в соответствии с требованиями Документации о закупке.</w:t>
      </w:r>
    </w:p>
    <w:p>
      <w:pPr>
        <w:pStyle w:val="Style25"/>
        <w:rPr/>
      </w:pPr>
      <w:r>
        <w:rPr/>
        <w:t>Заявка должна быть подписана электронной подписью лица, которое является уполномоченным представителем Участника.</w:t>
      </w:r>
    </w:p>
    <w:p>
      <w:pPr>
        <w:pStyle w:val="Style25"/>
        <w:rPr/>
      </w:pPr>
      <w:r>
        <w:rPr/>
        <w:t>Правила подачи заявок также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p>
    <w:p>
      <w:pPr>
        <w:pStyle w:val="Style25"/>
        <w:rPr/>
      </w:pPr>
      <w:r>
        <w:rPr/>
        <w:t>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p>
    <w:p>
      <w:pPr>
        <w:pStyle w:val="Style25"/>
        <w:rPr/>
      </w:pPr>
      <w:r>
        <w:rPr/>
        <w:t>Оператор ЭП до окончания срока подачи заявок обеспечивает конфиденциальность информации, содержащейся в поданных заявках.</w:t>
      </w:r>
    </w:p>
    <w:p>
      <w:pPr>
        <w:pStyle w:val="Style24"/>
        <w:rPr/>
      </w:pPr>
      <w:bookmarkStart w:id="135" w:name="_Ref125365136"/>
      <w:bookmarkStart w:id="136" w:name="_Toc220500990"/>
      <w:bookmarkStart w:id="137" w:name="_Ref125363819"/>
      <w:bookmarkStart w:id="138" w:name="_Ref125362192"/>
      <w:bookmarkStart w:id="139" w:name="_Ref125362130"/>
      <w:r>
        <w:rPr/>
        <w:t>Изменение и отзыв заявок</w:t>
      </w:r>
      <w:bookmarkEnd w:id="135"/>
      <w:bookmarkEnd w:id="136"/>
      <w:bookmarkEnd w:id="137"/>
      <w:bookmarkEnd w:id="138"/>
      <w:bookmarkEnd w:id="139"/>
    </w:p>
    <w:p>
      <w:pPr>
        <w:pStyle w:val="Style25"/>
        <w:rPr/>
      </w:pPr>
      <w:r>
        <w:rPr/>
        <w:t>Участник вправе изменить или отозвать поданную им ранее заявку до момента окончания срока подачи заявок. Внесение изменений в заявку, отзыв заявки после этого времени не допускаются, кроме случаев, прямо предусмотренных Документацией о закупке.</w:t>
      </w:r>
    </w:p>
    <w:p>
      <w:pPr>
        <w:pStyle w:val="Style25"/>
        <w:rPr/>
      </w:pPr>
      <w:r>
        <w:rPr/>
        <w:t>Отзыв Участником ранее поданной заявки является отказом от участия в закупке, отозванные заявки не рассматриваются Организатором, по существу.</w:t>
      </w:r>
    </w:p>
    <w:p>
      <w:pPr>
        <w:pStyle w:val="Style25"/>
        <w:rPr/>
      </w:pPr>
      <w:r>
        <w:rPr/>
        <w:t>Изменение и отзыв Участником ранее поданной заявки осуществляется в порядке, аналогичном порядку подачи и приема заявок, установленному в подразделе </w:t>
      </w:r>
      <w:r>
        <w:rPr/>
        <w:fldChar w:fldCharType="begin"/>
      </w:r>
      <w:r>
        <w:rPr/>
        <w:instrText xml:space="preserve"> REF _Ref125362119 \w \h </w:instrText>
      </w:r>
      <w:r>
        <w:rPr/>
        <w:fldChar w:fldCharType="separate"/>
      </w:r>
      <w:r>
        <w:rPr/>
        <w:t>4.6</w:t>
      </w:r>
      <w:r>
        <w:rPr/>
        <w:fldChar w:fldCharType="end"/>
      </w:r>
      <w:r>
        <w:rPr/>
        <w:t>.</w:t>
      </w:r>
    </w:p>
    <w:p>
      <w:pPr>
        <w:pStyle w:val="Style25"/>
        <w:rPr/>
      </w:pPr>
      <w:r>
        <w:rPr/>
        <w:t>Изменения и отзыв заявки осуществляется посредством функционала ЭП (подробный порядок определяется Регламентом ЭП).</w:t>
      </w:r>
    </w:p>
    <w:p>
      <w:pPr>
        <w:pStyle w:val="Style24"/>
        <w:rPr/>
      </w:pPr>
      <w:bookmarkStart w:id="140" w:name="_Toc220500991"/>
      <w:bookmarkStart w:id="141" w:name="_Ref130221619"/>
      <w:bookmarkStart w:id="142" w:name="_Ref125364340"/>
      <w:bookmarkEnd w:id="142"/>
      <w:r>
        <w:rPr/>
        <w:t>Открытие доступа к заявкам</w:t>
      </w:r>
      <w:bookmarkEnd w:id="140"/>
      <w:bookmarkEnd w:id="141"/>
    </w:p>
    <w:p>
      <w:pPr>
        <w:pStyle w:val="Style25"/>
        <w:rPr/>
      </w:pPr>
      <w:r>
        <w:rPr/>
        <w:t>Открытие доступа к заявкам («вскрытие»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w:t>
      </w:r>
    </w:p>
    <w:p>
      <w:pPr>
        <w:pStyle w:val="Style25"/>
        <w:rPr/>
      </w:pPr>
      <w:r>
        <w:rPr/>
        <w:t>Оператор ЭП предоставляет Организатору доступ одновременно ко всем поданным заявкам в полном объеме.</w:t>
      </w:r>
    </w:p>
    <w:p>
      <w:pPr>
        <w:pStyle w:val="Style25"/>
        <w:keepNext w:val="true"/>
        <w:rPr/>
      </w:pPr>
      <w:r>
        <w:rPr/>
        <w:t>Организатор по результатам открытия доступа к заявкам формирует соответствующий протокол с указанием в нем, как минимум, следующей информации</w:t>
      </w:r>
      <w:r>
        <w:rPr>
          <w:rStyle w:val="FootnoteReference"/>
        </w:rPr>
        <w:footnoteReference w:id="4"/>
      </w:r>
      <w:r>
        <w:rPr/>
        <w:t>:</w:t>
      </w:r>
    </w:p>
    <w:p>
      <w:pPr>
        <w:pStyle w:val="Style26"/>
        <w:rPr/>
      </w:pPr>
      <w:r>
        <w:rPr/>
        <w:t>дата подписания протокола;</w:t>
      </w:r>
    </w:p>
    <w:p>
      <w:pPr>
        <w:pStyle w:val="Style26"/>
        <w:rPr/>
      </w:pPr>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6"/>
        <w:rPr/>
      </w:pPr>
      <w:r>
        <w:rPr/>
        <w:t>идентификационные номера заявок Участников, присваиваемые Оператором ЭП;</w:t>
      </w:r>
    </w:p>
    <w:p>
      <w:pPr>
        <w:pStyle w:val="Style26"/>
        <w:rPr/>
      </w:pPr>
      <w:r>
        <w:rPr/>
        <w:t>стоимости заявок (или иное указание на общую стоимость заявки);</w:t>
      </w:r>
    </w:p>
    <w:p>
      <w:pPr>
        <w:pStyle w:val="Style26"/>
        <w:rPr/>
      </w:pPr>
      <w:r>
        <w:rPr/>
        <w:t>причины, по которым закупка признана несостоявшейся в соответствии с подразделом </w:t>
      </w:r>
      <w:r>
        <w:rPr/>
        <w:fldChar w:fldCharType="begin"/>
      </w:r>
      <w:r>
        <w:rPr/>
        <w:instrText xml:space="preserve"> REF _Ref125364149 \w \h </w:instrText>
      </w:r>
      <w:r>
        <w:rPr/>
        <w:fldChar w:fldCharType="separate"/>
      </w:r>
      <w:r>
        <w:rPr/>
        <w:t>4.15</w:t>
      </w:r>
      <w:r>
        <w:rPr/>
        <w:fldChar w:fldCharType="end"/>
      </w:r>
      <w:r>
        <w:rPr/>
        <w:t xml:space="preserve"> (в случае ее признания таковой),</w:t>
      </w:r>
    </w:p>
    <w:p>
      <w:pPr>
        <w:pStyle w:val="Style29"/>
        <w:ind w:left="1134" w:hanging="0"/>
        <w:rPr/>
      </w:pPr>
      <w:r>
        <w:rPr/>
        <w:t>после чего официально размещает его в течение 3 (трех) календарных дней с даты подписания такого протокола. Заседание Закупочной комиссии при этом не проводится.</w:t>
      </w:r>
    </w:p>
    <w:p>
      <w:pPr>
        <w:pStyle w:val="Style25"/>
        <w:rPr/>
      </w:pPr>
      <w:r>
        <w:rPr/>
        <w:t>Протокол открытия доступа к заявкам может формироваться автоматически Оператором ЭП, после чего официально размещаться в установленном порядке. В этом случае протокол считается подписанным уполномоченным лицом Организатора.</w:t>
      </w:r>
    </w:p>
    <w:p>
      <w:pPr>
        <w:pStyle w:val="Style25"/>
        <w:rPr/>
      </w:pPr>
      <w:r>
        <w:rPr/>
        <w:t>Порядок получения Участниками информации о поступивших заявках через ЭП определяется Регламентом ЭП.</w:t>
      </w:r>
    </w:p>
    <w:p>
      <w:pPr>
        <w:pStyle w:val="Style24"/>
        <w:rPr/>
      </w:pPr>
      <w:bookmarkStart w:id="143" w:name="_Toc220500992"/>
      <w:bookmarkStart w:id="144" w:name="_Ref135749133"/>
      <w:bookmarkStart w:id="145" w:name="_Ref125362364"/>
      <w:bookmarkStart w:id="146" w:name="_Ref125366689"/>
      <w:bookmarkStart w:id="147" w:name="_Ref125364340_Копия_1"/>
      <w:bookmarkEnd w:id="147"/>
      <w:r>
        <w:rPr/>
        <w:t>Рассмотрение заявок (отборочная стадия)</w:t>
      </w:r>
      <w:bookmarkEnd w:id="145"/>
      <w:bookmarkEnd w:id="146"/>
      <w:r>
        <w:rPr/>
        <w:t>, в том числе (при необходимости) проведение аккредитации</w:t>
      </w:r>
      <w:bookmarkEnd w:id="143"/>
      <w:bookmarkEnd w:id="144"/>
    </w:p>
    <w:p>
      <w:pPr>
        <w:pStyle w:val="Style25"/>
        <w:rPr/>
      </w:pPr>
      <w:r>
        <w:rPr/>
        <w:t>Дата окончания срока рассмотрения заявок установлена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ее, официально разместив информацию об этом.</w:t>
      </w:r>
    </w:p>
    <w:p>
      <w:pPr>
        <w:pStyle w:val="Style25"/>
        <w:rPr/>
      </w:pPr>
      <w:r>
        <w:rPr/>
        <w:t xml:space="preserve">В рамках рассмотрения заявок (отборочной стадии) осуществляется проверка каждой заявки на предмет соответствия </w:t>
      </w:r>
      <w:hyperlink w:anchor="Прил07_ОтборочныеКритерии">
        <w:r>
          <w:rPr>
            <w:rStyle w:val="Style14"/>
          </w:rPr>
          <w:t>Отборочным критериям рассмотрения заявок (Приложение № 7)</w:t>
        </w:r>
      </w:hyperlink>
      <w:r>
        <w:rPr/>
        <w:t>, в том числе проводится процедура аккредитации Участников (при необходимости).</w:t>
      </w:r>
    </w:p>
    <w:p>
      <w:pPr>
        <w:pStyle w:val="Style25"/>
        <w:rPr/>
      </w:pPr>
      <w:r>
        <w:rPr/>
        <w:t>Рассмотрение заявок проводится на основании представленных в составе заявки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p>
    <w:p>
      <w:pPr>
        <w:pStyle w:val="Style25"/>
        <w:keepNext w:val="true"/>
        <w:rPr/>
      </w:pPr>
      <w:r>
        <w:rPr/>
        <w:t>При выявлении в рамках рассмотрения заявок наличия арифметических ошибок, в том числе:</w:t>
      </w:r>
    </w:p>
    <w:p>
      <w:pPr>
        <w:pStyle w:val="Style26"/>
        <w:rPr/>
      </w:pPr>
      <w:r>
        <w:rPr/>
        <w:t>в результате суммирования единичных расценок;</w:t>
      </w:r>
    </w:p>
    <w:p>
      <w:pPr>
        <w:pStyle w:val="Style26"/>
        <w:rPr/>
      </w:pPr>
      <w:r>
        <w:rPr/>
        <w:t>в итогах умножения единичных расценок на объем продукции;</w:t>
      </w:r>
    </w:p>
    <w:p>
      <w:pPr>
        <w:pStyle w:val="Style26"/>
        <w:rPr/>
      </w:pPr>
      <w:r>
        <w:rPr/>
        <w:t>в вычислении суммы НДС и итоговой стоимости заявки с учетом НДС;</w:t>
      </w:r>
    </w:p>
    <w:p>
      <w:pPr>
        <w:pStyle w:val="Style26"/>
        <w:rPr/>
      </w:pPr>
      <w:r>
        <w:rPr/>
        <w:t>иных внутренних противоречий в составе заявки,</w:t>
      </w:r>
    </w:p>
    <w:p>
      <w:pPr>
        <w:pStyle w:val="Style29"/>
        <w:ind w:left="1134" w:hanging="0"/>
        <w:rPr/>
      </w:pPr>
      <w:r>
        <w:rPr/>
        <w:t>Организатор исходит из преимущества общей итоговой стоимости (без учета НДС), указанной в структурированных формах на ЭП (последней по времени подачи) и подписанной усиленной квалифицированной электронной подписью уполномоченного лица Участника. При уклонении Участника от заключения договора на вышеуказанных условиях заявка такого Участника подлежит отклонению решением Закупочной комиссии.</w:t>
      </w:r>
    </w:p>
    <w:p>
      <w:pPr>
        <w:pStyle w:val="Style25"/>
        <w:keepNext w:val="true"/>
        <w:rPr/>
      </w:pPr>
      <w:bookmarkStart w:id="148" w:name="_Ref125551456"/>
      <w:r>
        <w:rPr/>
        <w:t>По результатам рассмотрения заявок (проведения отборочной стадии) Закупочная комиссия отклоняет заявки по следующим основаниям:</w:t>
      </w:r>
      <w:bookmarkEnd w:id="148"/>
    </w:p>
    <w:p>
      <w:pPr>
        <w:pStyle w:val="Style26"/>
        <w:rPr/>
      </w:pPr>
      <w:r>
        <w:rPr/>
        <w:t>несоответствие по составу</w:t>
      </w:r>
      <w:r>
        <w:rPr>
          <w:rStyle w:val="FootnoteReference"/>
        </w:rPr>
        <w:footnoteReference w:id="5"/>
      </w:r>
      <w:r>
        <w:rPr/>
        <w:t>, содержанию и соблюдению требований Документации о закупке к подготовке (оформлению) заявки, в том числе наличие:</w:t>
      </w:r>
    </w:p>
    <w:p>
      <w:pPr>
        <w:pStyle w:val="Style27"/>
        <w:rPr/>
      </w:pPr>
      <w:r>
        <w:rPr/>
        <w:t>недостоверных сведений</w:t>
      </w:r>
      <w:r>
        <w:rPr>
          <w:rStyle w:val="FootnoteReference"/>
        </w:rPr>
        <w:footnoteReference w:id="6"/>
      </w:r>
      <w:r>
        <w:rPr/>
        <w:t xml:space="preserve"> или намеренно искаженной информации или документов;</w:t>
      </w:r>
    </w:p>
    <w:p>
      <w:pPr>
        <w:pStyle w:val="Style27"/>
        <w:rPr/>
      </w:pPr>
      <w:r>
        <w:rPr/>
        <w:t>внутренних противоречий между различными частями и (или) документами заявки, в том числе по тексту внутри одного документа;</w:t>
      </w:r>
    </w:p>
    <w:p>
      <w:pPr>
        <w:pStyle w:val="Style27"/>
        <w:rPr/>
      </w:pPr>
      <w:r>
        <w:rPr/>
        <w:t>противоречий между документами заявки и сведениями, указанными Участником в структурированных формах на ЭП;</w:t>
      </w:r>
    </w:p>
    <w:p>
      <w:pPr>
        <w:pStyle w:val="Style26"/>
        <w:rPr/>
      </w:pPr>
      <w:r>
        <w:rPr/>
        <w:t>несоответствие Участников требованиям Документации о закупке;</w:t>
      </w:r>
    </w:p>
    <w:p>
      <w:pPr>
        <w:pStyle w:val="Style26"/>
        <w:rPr/>
      </w:pPr>
      <w:r>
        <w:rPr/>
        <w:t>несоответствие привлекаемых субподрядчиков (соисполнителей) требованиям Документации о закупке;</w:t>
      </w:r>
    </w:p>
    <w:p>
      <w:pPr>
        <w:pStyle w:val="Style26"/>
        <w:rPr/>
      </w:pPr>
      <w:r>
        <w:rPr/>
        <w:t>несоответствие предлагаемой продукции требованиям Документации о закупке, в том числе порядка описания такой продукции (включая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 национальном режиме);</w:t>
      </w:r>
    </w:p>
    <w:p>
      <w:pPr>
        <w:pStyle w:val="Style26"/>
        <w:rPr/>
      </w:pPr>
      <w:r>
        <w:rPr/>
        <w:t>несоответствие предлагаемых договорных условий требованиям Документации о закупке, в том числе превышение стоимости заявки (цены Договора) над установленным размером НМЦ;</w:t>
      </w:r>
    </w:p>
    <w:p>
      <w:pPr>
        <w:pStyle w:val="Style26"/>
        <w:rPr/>
      </w:pPr>
      <w:r>
        <w:rPr/>
        <w:t>несоответствие размера, формы, условий и порядка предоставления обеспечения заявки.</w:t>
      </w:r>
    </w:p>
    <w:p>
      <w:pPr>
        <w:pStyle w:val="Style25"/>
        <w:rPr/>
      </w:pPr>
      <w:r>
        <w:rPr/>
        <w:t>По результатам рассмотрения заявок также может осуществляться предварительная оценка и сопоставление допущенных заявок, если после отборочной стадии планируется проведение переторжки (подраздел </w:t>
      </w:r>
      <w:r>
        <w:rPr/>
        <w:fldChar w:fldCharType="begin"/>
      </w:r>
      <w:r>
        <w:rPr/>
        <w:instrText xml:space="preserve"> REF _Ref125362430 \r \h </w:instrText>
      </w:r>
      <w:r>
        <w:rPr/>
        <w:fldChar w:fldCharType="separate"/>
      </w:r>
      <w:r>
        <w:rPr/>
        <w:t>4.11</w:t>
      </w:r>
      <w:r>
        <w:rPr/>
        <w:fldChar w:fldCharType="end"/>
      </w:r>
      <w:r>
        <w:rPr/>
        <w:t>). В данном случае оценка и сопоставление заявок, а также их предварительная ранжировка осуществляются в соответствии с подразделами </w:t>
      </w:r>
      <w:r>
        <w:rPr/>
        <w:fldChar w:fldCharType="begin"/>
      </w:r>
      <w:r>
        <w:rPr/>
        <w:instrText xml:space="preserve"> REF _Ref125362626 \w \h </w:instrText>
      </w:r>
      <w:r>
        <w:rPr/>
        <w:fldChar w:fldCharType="separate"/>
      </w:r>
      <w:r>
        <w:rPr/>
        <w:t>4.12</w:t>
      </w:r>
      <w:r>
        <w:rPr/>
        <w:fldChar w:fldCharType="end"/>
      </w:r>
      <w:r>
        <w:rPr/>
        <w:t xml:space="preserve">, </w:t>
      </w:r>
      <w:r>
        <w:rPr/>
        <w:fldChar w:fldCharType="begin"/>
      </w:r>
      <w:r>
        <w:rPr/>
        <w:instrText xml:space="preserve"> REF _Ref130985951 \r \h </w:instrText>
      </w:r>
      <w:r>
        <w:rPr/>
        <w:fldChar w:fldCharType="separate"/>
      </w:r>
      <w:r>
        <w:rPr/>
        <w:t>4.13</w:t>
      </w:r>
      <w:r>
        <w:rPr/>
        <w:fldChar w:fldCharType="end"/>
      </w:r>
      <w:r>
        <w:rPr/>
        <w:t>, на основании представленных в составе заявки документов и сведений (включая стоимость заявки (цену Договора)).</w:t>
      </w:r>
    </w:p>
    <w:p>
      <w:pPr>
        <w:pStyle w:val="Style25"/>
        <w:keepNext w:val="true"/>
        <w:rPr/>
      </w:pPr>
      <w:r>
        <w:rPr/>
        <w:t>Решение Закупочной комиссии по рассмотрению заявок оформляется протоколом, в котором, как минимум, указываются</w:t>
      </w:r>
      <w:r>
        <w:rPr>
          <w:rStyle w:val="FootnoteReference"/>
        </w:rPr>
        <w:footnoteReference w:id="7"/>
      </w:r>
      <w:r>
        <w:rPr/>
        <w:t>:</w:t>
      </w:r>
    </w:p>
    <w:p>
      <w:pPr>
        <w:pStyle w:val="Style26"/>
        <w:rPr/>
      </w:pPr>
      <w:r>
        <w:rPr/>
        <w:t>дата подписания протокола;</w:t>
      </w:r>
    </w:p>
    <w:p>
      <w:pPr>
        <w:pStyle w:val="Style26"/>
        <w:rPr/>
      </w:pPr>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6"/>
        <w:rPr/>
      </w:pPr>
      <w:r>
        <w:rPr/>
        <w:t>идентификационные номера заявок Участников, присваиваемые Оператором ЭП;</w:t>
      </w:r>
    </w:p>
    <w:p>
      <w:pPr>
        <w:pStyle w:val="Style26"/>
        <w:keepNext w:val="true"/>
        <w:rPr/>
      </w:pPr>
      <w:r>
        <w:rPr/>
        <w:t>результаты рассмотрения заявок с указанием, в том числе:</w:t>
      </w:r>
    </w:p>
    <w:p>
      <w:pPr>
        <w:pStyle w:val="Style27"/>
        <w:rPr/>
      </w:pPr>
      <w:r>
        <w:rPr/>
        <w:t>количества заявок, которые были отклонены;</w:t>
      </w:r>
    </w:p>
    <w:p>
      <w:pPr>
        <w:pStyle w:val="Style27"/>
        <w:rPr/>
      </w:pPr>
      <w:r>
        <w:rPr/>
        <w:t>оснований отклонения каждой заявки с указанием положений Документации о закупке, которым не соответствует такая заявка;</w:t>
      </w:r>
    </w:p>
    <w:p>
      <w:pPr>
        <w:pStyle w:val="Style26"/>
        <w:rPr/>
      </w:pPr>
      <w:r>
        <w:rPr/>
        <w:t>причины, по которым закупка признана несостоявшейся в соответствии с подразделом </w:t>
      </w:r>
      <w:r>
        <w:rPr/>
        <w:fldChar w:fldCharType="begin"/>
      </w:r>
      <w:r>
        <w:rPr/>
        <w:instrText xml:space="preserve"> REF _Ref125364149 \w \h </w:instrText>
      </w:r>
      <w:r>
        <w:rPr/>
        <w:fldChar w:fldCharType="separate"/>
      </w:r>
      <w:r>
        <w:rPr/>
        <w:t>4.15</w:t>
      </w:r>
      <w:r>
        <w:rPr/>
        <w:fldChar w:fldCharType="end"/>
      </w:r>
      <w:r>
        <w:rPr/>
        <w:t xml:space="preserve"> (в случае ее признания таковой);</w:t>
      </w:r>
    </w:p>
    <w:p>
      <w:pPr>
        <w:pStyle w:val="Style26"/>
        <w:keepNext w:val="true"/>
        <w:rPr/>
      </w:pPr>
      <w:r>
        <w:rPr/>
        <w:t>результаты предварительной оценки и сопоставления допущенных заявок – в случае принятия решения о проведении переторжки, с указанием, в том числе:</w:t>
      </w:r>
    </w:p>
    <w:p>
      <w:pPr>
        <w:pStyle w:val="Style27"/>
        <w:rPr/>
      </w:pPr>
      <w:r>
        <w:rPr/>
        <w:t>значения (в баллах), присвоенного каждой заявке по каждому из предусмотренных критериев оценки, установленных в Документации о закупке;</w:t>
      </w:r>
    </w:p>
    <w:p>
      <w:pPr>
        <w:pStyle w:val="Style27"/>
        <w:rPr/>
      </w:pPr>
      <w:r>
        <w:rPr/>
        <w:t>порядкового номера каждой допущенной заявки в предварительной ранжировке заявок, включая стоимость заявки (цену Договора);</w:t>
      </w:r>
    </w:p>
    <w:p>
      <w:pPr>
        <w:pStyle w:val="Style26"/>
        <w:rPr/>
      </w:pPr>
      <w:bookmarkStart w:id="149" w:name="_Ref125551524"/>
      <w:r>
        <w:rPr/>
        <w:t>решение о проведении или непроведении переторжки,</w:t>
      </w:r>
      <w:bookmarkEnd w:id="149"/>
    </w:p>
    <w:p>
      <w:pPr>
        <w:pStyle w:val="Style29"/>
        <w:ind w:left="1134" w:hanging="0"/>
        <w:rPr/>
      </w:pPr>
      <w:r>
        <w:rPr/>
        <w:t>после чего Организатор официально размещает его в течение 3 (трех) календарных дней с даты подписания такого протокола.</w:t>
      </w:r>
    </w:p>
    <w:p>
      <w:pPr>
        <w:pStyle w:val="Style25"/>
        <w:rPr/>
      </w:pPr>
      <w:r>
        <w:rPr/>
        <w:t>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и (или) оценки и сопоставления своей заявки в порядке, аналогичном порядку направления запросов на разъяснение Документации о закупке (подраздел </w:t>
      </w:r>
      <w:r>
        <w:rPr/>
        <w:fldChar w:fldCharType="begin"/>
      </w:r>
      <w:r>
        <w:rPr/>
        <w:instrText xml:space="preserve"> REF _Ref130394785 \r \h </w:instrText>
      </w:r>
      <w:r>
        <w:rPr/>
        <w:fldChar w:fldCharType="separate"/>
      </w:r>
      <w:r>
        <w:rPr/>
        <w:t>4.4</w:t>
      </w:r>
      <w:r>
        <w:rPr/>
        <w:fldChar w:fldCharType="end"/>
      </w:r>
      <w:r>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pPr>
        <w:pStyle w:val="Style25"/>
        <w:rPr/>
      </w:pPr>
      <w:r>
        <w:rPr/>
        <w:t>Если рассмотрение заявок, оценка и сопоставление заявок, а также подведение итогов закупки осуществляются одновременно, отдельный протокол по результатам рассмотрения заявок может не оформляться, а соответствующая информация подлежит обязательному включению в итоговый протокол по результатам закупки.</w:t>
      </w:r>
    </w:p>
    <w:p>
      <w:pPr>
        <w:pStyle w:val="Style25"/>
        <w:rPr/>
      </w:pPr>
      <w:r>
        <w:rPr/>
        <w:t>Если основания для отклонения заявки, указанные в пункте </w:t>
      </w:r>
      <w:r>
        <w:rPr/>
        <w:fldChar w:fldCharType="begin"/>
      </w:r>
      <w:r>
        <w:rPr/>
        <w:instrText xml:space="preserve"> REF _Ref125551456 \w \h </w:instrText>
      </w:r>
      <w:r>
        <w:rPr/>
        <w:fldChar w:fldCharType="separate"/>
      </w:r>
      <w:r>
        <w:rPr/>
        <w:t>4.9.5</w:t>
      </w:r>
      <w:r>
        <w:rPr/>
        <w:fldChar w:fldCharType="end"/>
      </w:r>
      <w:r>
        <w:rPr/>
        <w:t>,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 закупки.</w:t>
      </w:r>
    </w:p>
    <w:p>
      <w:pPr>
        <w:pStyle w:val="Style24"/>
        <w:rPr/>
      </w:pPr>
      <w:bookmarkStart w:id="150" w:name="_Ref125362464"/>
      <w:bookmarkStart w:id="151" w:name="_Ref125362610"/>
      <w:bookmarkStart w:id="152" w:name="_Ref125362381"/>
      <w:bookmarkStart w:id="153" w:name="_Toc220500993"/>
      <w:bookmarkStart w:id="154" w:name="_Ref125362425"/>
      <w:r>
        <w:rPr/>
        <w:t>Дополнительные запросы разъяснений заявок</w:t>
      </w:r>
      <w:bookmarkEnd w:id="150"/>
      <w:bookmarkEnd w:id="151"/>
      <w:bookmarkEnd w:id="152"/>
      <w:bookmarkEnd w:id="153"/>
      <w:bookmarkEnd w:id="154"/>
    </w:p>
    <w:p>
      <w:pPr>
        <w:pStyle w:val="Style25"/>
        <w:rPr/>
      </w:pPr>
      <w:bookmarkStart w:id="155" w:name="_Ref125365611"/>
      <w:r>
        <w:rPr/>
        <w:t>В рамках процедуры рассмотрения заявок, оценки и сопоставления заявок Организатор вправе направить в адрес Участника дополнительный запрос разъяснений и (или) дополнений его заявки, влияющих на отклонение или оценку и сопоставление его заявки, в следующих случаях:</w:t>
      </w:r>
      <w:bookmarkEnd w:id="155"/>
    </w:p>
    <w:p>
      <w:pPr>
        <w:pStyle w:val="Style26"/>
        <w:keepNext w:val="true"/>
        <w:rPr/>
      </w:pPr>
      <w:r>
        <w:rPr/>
        <w:t>в составе заявки отсутствуют, представлены не в полном объеме или в нечитаемом виде документы или сведения, необходимые для определения:</w:t>
      </w:r>
    </w:p>
    <w:p>
      <w:pPr>
        <w:pStyle w:val="Style27"/>
        <w:rPr/>
      </w:pPr>
      <w:r>
        <w:rPr/>
        <w:t>соответствия Участника требованиям Документации о закупке;</w:t>
      </w:r>
    </w:p>
    <w:p>
      <w:pPr>
        <w:pStyle w:val="Style27"/>
        <w:rPr/>
      </w:pPr>
      <w:r>
        <w:rPr/>
        <w:t>наличия соответствующих полномочий на подписание заявки от имени Участника у лица, подписавшего заявку;</w:t>
      </w:r>
    </w:p>
    <w:p>
      <w:pPr>
        <w:pStyle w:val="Style27"/>
        <w:rPr/>
      </w:pPr>
      <w:r>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pPr>
        <w:pStyle w:val="Style26"/>
        <w:rPr/>
      </w:pPr>
      <w:bookmarkStart w:id="156" w:name="_Ref134702259"/>
      <w:r>
        <w:rPr/>
        <w:t>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p>
    <w:p>
      <w:pPr>
        <w:pStyle w:val="Style26"/>
        <w:rPr/>
      </w:pPr>
      <w:r>
        <w:rPr/>
        <w:t>в заявке имеются разночтения или положения, допускающие неоднозначное толкование, не позволяющие определить соответствие заявки или Участника (в том числе не позволяющие провести в отношении него процедуру аккредитации (при необходимости)</w:t>
      </w:r>
      <w:r>
        <w:rPr>
          <w:rStyle w:val="FootnoteReference"/>
        </w:rPr>
        <w:footnoteReference w:id="8"/>
      </w:r>
      <w:r>
        <w:rPr/>
        <w:t>) требованиям Документации о закупке или осуществить оценку и сопоставление заявок.</w:t>
      </w:r>
      <w:bookmarkEnd w:id="156"/>
    </w:p>
    <w:p>
      <w:pPr>
        <w:pStyle w:val="Style25"/>
        <w:rPr/>
      </w:pPr>
      <w:r>
        <w:rPr/>
        <w:t>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дополнений его заявки, влияющих на прохождение аккредитации таким Участником (в том числе в случае, указанном в подпункте </w:t>
      </w:r>
      <w:r>
        <w:rPr/>
        <w:fldChar w:fldCharType="begin"/>
      </w:r>
      <w:r>
        <w:rPr/>
        <w:instrText xml:space="preserve"> REF _Ref134702259 \r \h </w:instrText>
      </w:r>
      <w:r>
        <w:rPr/>
        <w:fldChar w:fldCharType="separate"/>
      </w:r>
      <w:r>
        <w:rPr/>
        <w:t>4.10.1б)</w:t>
      </w:r>
      <w:r>
        <w:rPr/>
        <w:fldChar w:fldCharType="end"/>
      </w:r>
      <w:r>
        <w:rPr/>
        <w:t>).</w:t>
      </w:r>
    </w:p>
    <w:p>
      <w:pPr>
        <w:pStyle w:val="Style25"/>
        <w:rPr/>
      </w:pPr>
      <w:r>
        <w:rPr/>
        <w:t>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p>
    <w:p>
      <w:pPr>
        <w:pStyle w:val="Style25"/>
        <w:rPr/>
      </w:pPr>
      <w:r>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pPr>
        <w:pStyle w:val="Style25"/>
        <w:rPr/>
      </w:pPr>
      <w:r>
        <w:rPr/>
        <w:t>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направляются Участнику если в соответствии с пунктом </w:t>
      </w:r>
      <w:r>
        <w:rPr/>
        <w:fldChar w:fldCharType="begin"/>
      </w:r>
      <w:r>
        <w:rPr/>
        <w:instrText xml:space="preserve"> REF _Ref125551456 \w \h </w:instrText>
      </w:r>
      <w:r>
        <w:rPr/>
        <w:fldChar w:fldCharType="separate"/>
      </w:r>
      <w:r>
        <w:rPr/>
        <w:t>4.9.5</w:t>
      </w:r>
      <w:r>
        <w:rPr/>
        <w:fldChar w:fldCharType="end"/>
      </w:r>
      <w:r>
        <w:rPr/>
        <w:t xml:space="preserve"> имеются прямые основания для отклонения заявки такого Участника, не относящиеся к случаям, перечисленным в пункте </w:t>
      </w:r>
      <w:r>
        <w:rPr/>
        <w:fldChar w:fldCharType="begin"/>
      </w:r>
      <w:r>
        <w:rPr/>
        <w:instrText xml:space="preserve"> REF _Ref125365611 \w \h </w:instrText>
      </w:r>
      <w:r>
        <w:rPr/>
        <w:fldChar w:fldCharType="separate"/>
      </w:r>
      <w:r>
        <w:rPr/>
        <w:t>4.10.1</w:t>
      </w:r>
      <w:r>
        <w:rPr/>
        <w:fldChar w:fldCharType="end"/>
      </w:r>
      <w:r>
        <w:rPr/>
        <w:t>.</w:t>
      </w:r>
    </w:p>
    <w:p>
      <w:pPr>
        <w:pStyle w:val="Style25"/>
        <w:rPr/>
      </w:pPr>
      <w:r>
        <w:rPr/>
        <w:t>Срок предоставления Участниками разъяснений своих заявок устанавливается одинаковый для всех и составляет не менее 2 (двух) рабочих дней с момента направления запроса в адрес Участника.</w:t>
      </w:r>
    </w:p>
    <w:p>
      <w:pPr>
        <w:pStyle w:val="Style25"/>
        <w:rPr/>
      </w:pPr>
      <w:r>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ЭП в порядке, предусмотренном Регламентом ЭП (ответы Участников, поступившие не через ЭП, к рассмотрению не принимаются).</w:t>
      </w:r>
    </w:p>
    <w:p>
      <w:pPr>
        <w:pStyle w:val="Style25"/>
        <w:rPr/>
      </w:pPr>
      <w:r>
        <w:rPr/>
        <w:t>Непредставление или представление не в полном объеме запрашиваемых документов и (или) разъяснений в установленный в запросе срок служит основанием для отклонения заявки такого Участника по условиям пункта </w:t>
      </w:r>
      <w:r>
        <w:rPr/>
        <w:fldChar w:fldCharType="begin"/>
      </w:r>
      <w:r>
        <w:rPr/>
        <w:instrText xml:space="preserve"> REF _Ref125551456 \w \h </w:instrText>
      </w:r>
      <w:r>
        <w:rPr/>
        <w:fldChar w:fldCharType="separate"/>
      </w:r>
      <w:r>
        <w:rPr/>
        <w:t>4.9.5</w:t>
      </w:r>
      <w:r>
        <w:rPr/>
        <w:fldChar w:fldCharType="end"/>
      </w:r>
      <w:r>
        <w:rPr/>
        <w:t>.</w:t>
      </w:r>
    </w:p>
    <w:p>
      <w:pPr>
        <w:pStyle w:val="Style24"/>
        <w:rPr/>
      </w:pPr>
      <w:bookmarkStart w:id="157" w:name="_Ref125362430"/>
      <w:bookmarkStart w:id="158" w:name="_Ref125362537"/>
      <w:bookmarkStart w:id="159" w:name="_Ref127536359"/>
      <w:bookmarkStart w:id="160" w:name="_Toc220500994"/>
      <w:r>
        <w:rPr/>
        <w:t>Переторжка</w:t>
      </w:r>
      <w:bookmarkEnd w:id="157"/>
      <w:bookmarkEnd w:id="158"/>
      <w:bookmarkEnd w:id="159"/>
      <w:bookmarkEnd w:id="160"/>
    </w:p>
    <w:p>
      <w:pPr>
        <w:pStyle w:val="Style25"/>
        <w:rPr/>
      </w:pPr>
      <w:r>
        <w:rPr/>
        <w:t>Нормы настоящего подраздела применяются в случае проведения процедуры переторжки.</w:t>
      </w:r>
    </w:p>
    <w:p>
      <w:pPr>
        <w:pStyle w:val="Style25"/>
        <w:rPr/>
      </w:pPr>
      <w:r>
        <w:rPr/>
        <w:t>Решение о проведении процедуры переторжки, а также ее предмете, сроках и форме ее проведения принимает Закупочная комиссия (и фиксирует в протоколе рассмотрения заявок). Переторжка может проводиться один или несколько раз (далее – многократная переторжка). Каждая процедура переторжки проводится на основании отдельного решения Закупочной комиссии, оформляемого соответствующим протоколом.</w:t>
      </w:r>
    </w:p>
    <w:p>
      <w:pPr>
        <w:pStyle w:val="Style25"/>
        <w:keepNext w:val="true"/>
        <w:rPr/>
      </w:pPr>
      <w:r>
        <w:rPr/>
        <w:t>Предметом переторжки могут являться следующие условия (или их сочетания), позволяющие повысить предпочтительность поданных заявок:</w:t>
      </w:r>
    </w:p>
    <w:p>
      <w:pPr>
        <w:pStyle w:val="Style26"/>
        <w:rPr/>
      </w:pPr>
      <w:r>
        <w:rPr/>
        <w:t>стоимость заявки (цена Договора) / цена за единицу продукции;</w:t>
      </w:r>
    </w:p>
    <w:p>
      <w:pPr>
        <w:pStyle w:val="Style26"/>
        <w:rPr/>
      </w:pPr>
      <w:r>
        <w:rPr/>
        <w:t>сроки поставки продукции;</w:t>
      </w:r>
    </w:p>
    <w:p>
      <w:pPr>
        <w:pStyle w:val="Style26"/>
        <w:rPr/>
      </w:pPr>
      <w:r>
        <w:rPr/>
        <w:t>условия оплаты;</w:t>
      </w:r>
    </w:p>
    <w:p>
      <w:pPr>
        <w:pStyle w:val="Style26"/>
        <w:rPr/>
      </w:pPr>
      <w:r>
        <w:rPr/>
        <w:t>иные условия, которые являются критериями оценки заявок.</w:t>
      </w:r>
    </w:p>
    <w:p>
      <w:pPr>
        <w:pStyle w:val="Style29"/>
        <w:ind w:left="1134" w:hanging="0"/>
        <w:rPr/>
      </w:pPr>
      <w:r>
        <w:rPr/>
        <w:t>При этом предметом переторжки не могут быть условия, которые не входят в состав критериев оценки в соответствии с Документацией о закупке.</w:t>
      </w:r>
    </w:p>
    <w:p>
      <w:pPr>
        <w:pStyle w:val="Style25"/>
        <w:rPr/>
      </w:pPr>
      <w:r>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pPr>
        <w:pStyle w:val="Style25"/>
        <w:rPr/>
      </w:pPr>
      <w:r>
        <w:rPr/>
        <w:t>В переторжке может принять участие любой Участник, заявка которого не была отклонена по результатам рассмотрения заявок.</w:t>
      </w:r>
    </w:p>
    <w:p>
      <w:pPr>
        <w:pStyle w:val="Style25"/>
        <w:rPr/>
      </w:pPr>
      <w:r>
        <w:rPr/>
        <w:t>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Письме о подаче оферты (форма 2) (</w:t>
      </w:r>
      <w:hyperlink w:anchor="Прил04_ФормыЗаявки">
        <w:r>
          <w:rPr>
            <w:rStyle w:val="Style14"/>
          </w:rPr>
          <w:t>Приложение № 4</w:t>
        </w:r>
      </w:hyperlink>
      <w:r>
        <w:rPr/>
        <w:t>).</w:t>
      </w:r>
    </w:p>
    <w:p>
      <w:pPr>
        <w:pStyle w:val="Style25"/>
        <w:rPr/>
      </w:pPr>
      <w:r>
        <w:rPr/>
        <w:t>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w:t>
      </w:r>
    </w:p>
    <w:p>
      <w:pPr>
        <w:pStyle w:val="Style25"/>
        <w:rPr/>
      </w:pPr>
      <w:r>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p>
    <w:p>
      <w:pPr>
        <w:pStyle w:val="Style25"/>
        <w:rPr/>
      </w:pPr>
      <w:r>
        <w:rPr/>
        <w:t>Участник не вправе изменять и (или) отзывать поданные предложения на переторжку после окончания ее проведения.</w:t>
      </w:r>
    </w:p>
    <w:p>
      <w:pPr>
        <w:pStyle w:val="Style25"/>
        <w:rPr/>
      </w:pPr>
      <w:r>
        <w:rPr/>
        <w:t>Участие в переторжке не расценивается Организатором как нарушение требований о праве подачи Участником не более одной заявки. Предложения, заявленные Участниками в ходе переторжки, имеют статус разрешенных изменений в ранее поданную заявку.</w:t>
      </w:r>
    </w:p>
    <w:p>
      <w:pPr>
        <w:pStyle w:val="Style25"/>
        <w:rPr/>
      </w:pPr>
      <w:r>
        <w:rPr/>
        <w:t>Процедура переторжки проводится на ЭП в порядке, предусмотренном настоящим подразделом и Регламентом ЭП.</w:t>
      </w:r>
    </w:p>
    <w:p>
      <w:pPr>
        <w:pStyle w:val="Style25"/>
        <w:keepNext w:val="true"/>
        <w:rPr/>
      </w:pPr>
      <w:r>
        <w:rPr/>
        <w:t>В зависимости от правил, предусмотренных Регламентом ЭП, переторжка может проводиться:</w:t>
      </w:r>
    </w:p>
    <w:p>
      <w:pPr>
        <w:pStyle w:val="Style26"/>
        <w:rPr/>
      </w:pPr>
      <w:r>
        <w:rPr/>
        <w:t>в заочной форме путем однократной подачи предложения на переторжку к установленному сроку;</w:t>
      </w:r>
    </w:p>
    <w:p>
      <w:pPr>
        <w:pStyle w:val="Style26"/>
        <w:rPr/>
      </w:pPr>
      <w:r>
        <w:rPr/>
        <w:t>в очной форме путем неоднократного снижения стоимости заявки (цены Договора) или улучшения других показателей, в том числе с установлением «шага» переторжки.</w:t>
      </w:r>
    </w:p>
    <w:p>
      <w:pPr>
        <w:pStyle w:val="Style25"/>
        <w:rPr/>
      </w:pPr>
      <w:r>
        <w:rPr/>
        <w:t>Приглашение Участников к процедуре переторжки осуществляется посредством одновременного (в один день) направления им соответствующих уведомлений посредством ЭП. В уведомлении указывается срок окончания подачи Участниками предложений на переторжку.</w:t>
      </w:r>
    </w:p>
    <w:p>
      <w:pPr>
        <w:pStyle w:val="Style25"/>
        <w:rPr/>
      </w:pPr>
      <w:r>
        <w:rPr/>
        <w:t>Участник, желающий принять участие в переторжке, должен в срок, установленный Закупочной комиссией, предоставить свои предложения на переторжку.</w:t>
      </w:r>
    </w:p>
    <w:p>
      <w:pPr>
        <w:pStyle w:val="Style25"/>
        <w:rPr/>
      </w:pPr>
      <w:bookmarkStart w:id="161" w:name="_Ref136245191"/>
      <w:r>
        <w:rPr/>
        <w:t>При заочной форме переторжки Участник вместе с предложением на переторжку размещает на ЭП документы своей заявки, указанные в пункте </w:t>
      </w:r>
      <w:r>
        <w:rPr/>
        <w:fldChar w:fldCharType="begin"/>
      </w:r>
      <w:r>
        <w:rPr/>
        <w:instrText xml:space="preserve"> REF _Ref136244167 \r \h </w:instrText>
      </w:r>
      <w:r>
        <w:rPr/>
        <w:fldChar w:fldCharType="separate"/>
      </w:r>
      <w:r>
        <w:rPr/>
        <w:t>4.11.17</w:t>
      </w:r>
      <w:r>
        <w:rPr/>
        <w:fldChar w:fldCharType="end"/>
      </w:r>
      <w:r>
        <w:rPr/>
        <w:t>, подлежащие корректировке в строгом соответствии с предложением, заявленным им в ходе проведения переторжки.</w:t>
      </w:r>
      <w:bookmarkEnd w:id="161"/>
    </w:p>
    <w:p>
      <w:pPr>
        <w:pStyle w:val="Style25"/>
        <w:rPr/>
      </w:pPr>
      <w:r>
        <w:rPr/>
        <w:t>При очной форме переторжки Участник, признанный Победителем, при условии, что он принимал участие в переторжке, обязан предоставить Заказчику в сроки, определенные подразделом </w:t>
      </w:r>
      <w:r>
        <w:rPr/>
        <w:fldChar w:fldCharType="begin"/>
      </w:r>
      <w:r>
        <w:rPr/>
        <w:instrText xml:space="preserve"> REF _Ref138232981 \r \h </w:instrText>
      </w:r>
      <w:r>
        <w:rPr/>
        <w:fldChar w:fldCharType="separate"/>
      </w:r>
      <w:r>
        <w:rPr/>
        <w:t>5.2</w:t>
      </w:r>
      <w:r>
        <w:rPr/>
        <w:fldChar w:fldCharType="end"/>
      </w:r>
      <w:r>
        <w:rPr/>
        <w:t>, документы своей заявки, указанные в пункте </w:t>
      </w:r>
      <w:r>
        <w:rPr/>
        <w:fldChar w:fldCharType="begin"/>
      </w:r>
      <w:r>
        <w:rPr/>
        <w:instrText xml:space="preserve"> REF _Ref136244167 \r \h </w:instrText>
      </w:r>
      <w:r>
        <w:rPr/>
        <w:fldChar w:fldCharType="separate"/>
      </w:r>
      <w:r>
        <w:rPr/>
        <w:t>4.11.17</w:t>
      </w:r>
      <w:r>
        <w:rPr/>
        <w:fldChar w:fldCharType="end"/>
      </w:r>
      <w:r>
        <w:rPr/>
        <w:t>, подлежащие корректировке в строгом соответствии с предложением, заявленным им в ходе проведения переторжки (в том числе, последним по времени стоимостным предложением, заявленным в ходе проведения переторжки).</w:t>
      </w:r>
    </w:p>
    <w:p>
      <w:pPr>
        <w:pStyle w:val="Style25"/>
        <w:keepNext w:val="true"/>
        <w:rPr/>
      </w:pPr>
      <w:bookmarkStart w:id="162" w:name="_Ref136244167"/>
      <w:r>
        <w:rPr/>
        <w:t>Документы заявки, подлежащие корректировке по результатам переторжки:</w:t>
      </w:r>
      <w:bookmarkEnd w:id="162"/>
    </w:p>
    <w:p>
      <w:pPr>
        <w:pStyle w:val="Style26"/>
        <w:rPr/>
      </w:pPr>
      <w:r>
        <w:rPr/>
        <w:t>Письмо о подаче оферты (форма 2) (</w:t>
      </w:r>
      <w:hyperlink w:anchor="Прил04_ФормыЗаявки">
        <w:r>
          <w:rPr>
            <w:rStyle w:val="Style14"/>
          </w:rPr>
          <w:t>Приложение № 4</w:t>
        </w:r>
      </w:hyperlink>
      <w:r>
        <w:rPr/>
        <w:t>);</w:t>
      </w:r>
    </w:p>
    <w:p>
      <w:pPr>
        <w:pStyle w:val="Style26"/>
        <w:rPr/>
      </w:pPr>
      <w:r>
        <w:rPr/>
        <w:t>Коммерческое предложение (форма 3) (</w:t>
      </w:r>
      <w:hyperlink w:anchor="Прил04_ФормыЗаявки">
        <w:r>
          <w:rPr>
            <w:rStyle w:val="Style14"/>
          </w:rPr>
          <w:t>Приложение № 4</w:t>
        </w:r>
      </w:hyperlink>
      <w:r>
        <w:rPr/>
        <w:t xml:space="preserve">); также дополнительно предоставляется подтверждающая документация, составленная в соответствии с </w:t>
      </w:r>
      <w:hyperlink w:anchor="Прил01_ТехТребования">
        <w:r>
          <w:rPr>
            <w:rStyle w:val="Style14"/>
          </w:rPr>
          <w:t>Техническими требованиями (Приложение № 1)</w:t>
        </w:r>
      </w:hyperlink>
      <w:r>
        <w:rP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p>
    <w:p>
      <w:pPr>
        <w:pStyle w:val="Style26"/>
        <w:rPr/>
      </w:pPr>
      <w:r>
        <w:rPr/>
        <w:t>План распределения объемов поставки продукции (форма 11) (</w:t>
      </w:r>
      <w:hyperlink w:anchor="Прил04_ФормыЗаявки">
        <w:r>
          <w:rPr>
            <w:rStyle w:val="Style14"/>
          </w:rPr>
          <w:t>Приложение № 4</w:t>
        </w:r>
      </w:hyperlink>
      <w:r>
        <w:rPr/>
        <w:t>) – только если заявка подана Коллективным участником или Генеральным подрядчиком;</w:t>
      </w:r>
    </w:p>
    <w:p>
      <w:pPr>
        <w:pStyle w:val="Style26"/>
        <w:rPr/>
      </w:pPr>
      <w:bookmarkStart w:id="163" w:name="_Ref130376111"/>
      <w:r>
        <w:rPr/>
        <w:t>иной документ, указанный в протоколе закупки (которым назначена переторжка), связанный с предметом проводимой переторжки.</w:t>
      </w:r>
      <w:bookmarkEnd w:id="163"/>
    </w:p>
    <w:p>
      <w:pPr>
        <w:pStyle w:val="Style25"/>
        <w:rPr/>
      </w:pPr>
      <w:r>
        <w:rPr/>
        <w:t>Если Участник, принявший участие в переторжке в заочной форме, не предоставил документы, в соответствии с пунктом </w:t>
      </w:r>
      <w:r>
        <w:rPr/>
        <w:fldChar w:fldCharType="begin"/>
      </w:r>
      <w:r>
        <w:rPr/>
        <w:instrText xml:space="preserve"> REF _Ref136245191 \r \h </w:instrText>
      </w:r>
      <w:r>
        <w:rPr/>
        <w:fldChar w:fldCharType="separate"/>
      </w:r>
      <w:r>
        <w:rPr/>
        <w:t>4.11.15</w:t>
      </w:r>
      <w:r>
        <w:rPr/>
        <w:fldChar w:fldCharType="end"/>
      </w:r>
      <w:r>
        <w:rPr/>
        <w:t>, либо не предоставил их в ответ на дополнительный запрос Организатора, он считается не участвовавшим в переторжке, и его заявка остается действующей с ранее (первоначально) заявленными условиями.</w:t>
      </w:r>
    </w:p>
    <w:p>
      <w:pPr>
        <w:pStyle w:val="Style25"/>
        <w:rPr/>
      </w:pPr>
      <w:r>
        <w:rPr/>
        <w:t>При наличии соответствующего решения Закупочной комиссии о допуске Участника к переторжке в заочной форме с отлагательным условием (например, при условии представления им недостающих ранее или уточняющих документов) и неисполнения Участником этого условия, Закупочная комиссия отклоняет заявку такого Участника после переторжки.</w:t>
      </w:r>
    </w:p>
    <w:p>
      <w:pPr>
        <w:pStyle w:val="Style25"/>
        <w:rPr/>
      </w:pPr>
      <w:r>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pPr>
        <w:pStyle w:val="Style24"/>
        <w:rPr/>
      </w:pPr>
      <w:bookmarkStart w:id="164" w:name="_Toc220500995"/>
      <w:bookmarkStart w:id="165" w:name="_Ref125369308"/>
      <w:bookmarkStart w:id="166" w:name="_Ref125369041"/>
      <w:bookmarkStart w:id="167" w:name="_Ref125365519"/>
      <w:bookmarkStart w:id="168" w:name="_Ref125362626"/>
      <w:bookmarkStart w:id="169" w:name="_Ref125365335"/>
      <w:bookmarkStart w:id="170" w:name="_Ref125366534"/>
      <w:r>
        <w:rPr/>
        <w:t>Оценка и сопоставление заявок</w:t>
      </w:r>
      <w:bookmarkEnd w:id="164"/>
      <w:bookmarkEnd w:id="165"/>
      <w:bookmarkEnd w:id="166"/>
      <w:bookmarkEnd w:id="167"/>
      <w:bookmarkEnd w:id="168"/>
      <w:bookmarkEnd w:id="169"/>
      <w:bookmarkEnd w:id="170"/>
    </w:p>
    <w:p>
      <w:pPr>
        <w:pStyle w:val="Style25"/>
        <w:rPr/>
      </w:pPr>
      <w:r>
        <w:rPr/>
        <w:t>Оценка и сопоставление заявок, признанных Закупочной комиссией соответствующими по результатам рассмотрения заявок (подраздел </w:t>
      </w:r>
      <w:r>
        <w:rPr/>
        <w:fldChar w:fldCharType="begin"/>
      </w:r>
      <w:r>
        <w:rPr/>
        <w:instrText xml:space="preserve"> REF _Ref125362364 \w \h </w:instrText>
      </w:r>
      <w:r>
        <w:rPr/>
        <w:fldChar w:fldCharType="separate"/>
      </w:r>
      <w:r>
        <w:rPr/>
        <w:t>4.9</w:t>
      </w:r>
      <w:r>
        <w:rPr/>
        <w:fldChar w:fldCharType="end"/>
      </w:r>
      <w:r>
        <w:rPr/>
        <w:t xml:space="preserve">), осуществляется в соответствии с </w:t>
      </w:r>
      <w:hyperlink w:anchor="Прил08_ПорядокОценки">
        <w:r>
          <w:rPr>
            <w:rStyle w:val="Style14"/>
          </w:rPr>
          <w:t>Порядком и критериями оценки и сопоставления заявок (Приложение № 8)</w:t>
        </w:r>
      </w:hyperlink>
      <w:r>
        <w:rPr/>
        <w:t>. Их результатом является формирование ранжировки заявок по степени предпочтительности на основании полученного итогового балла (по мере уменьшения). При этом первое место в ранжировке присваивается заявке, получившей наибольший итоговый балл. Если по результатам оценки нескольким заявкам присвоен одинаковый итоговый балл, то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w:t>
      </w:r>
    </w:p>
    <w:p>
      <w:pPr>
        <w:pStyle w:val="Style25"/>
        <w:rPr/>
      </w:pPr>
      <w:r>
        <w:rPr/>
        <w:t xml:space="preserve">Если в соответствии с </w:t>
      </w:r>
      <w:hyperlink w:anchor="Прил08_ПорядокОценки">
        <w:r>
          <w:rPr>
            <w:rStyle w:val="Style14"/>
          </w:rPr>
          <w:t>Порядком и критериями оценки и сопоставления заявок (Приложение № 8)</w:t>
        </w:r>
      </w:hyperlink>
      <w:r>
        <w:rPr/>
        <w:t xml:space="preserve"> предусмотрен единственный ценовой критерий оценки (иные критерии оценки не предусмотрены), оценка и сопоставление заявок, признанных Закупочной комиссией соответствующими по результатам рассмотрения заявок (подраздел </w:t>
      </w:r>
      <w:r>
        <w:rPr/>
        <w:fldChar w:fldCharType="begin"/>
      </w:r>
      <w:r>
        <w:rPr/>
        <w:instrText xml:space="preserve"> REF _Ref135749133 \r \h </w:instrText>
      </w:r>
      <w:r>
        <w:rPr/>
        <w:fldChar w:fldCharType="separate"/>
      </w:r>
      <w:r>
        <w:rPr/>
        <w:t>4.9</w:t>
      </w:r>
      <w:r>
        <w:rPr/>
        <w:fldChar w:fldCharType="end"/>
      </w:r>
      <w:r>
        <w:rPr/>
        <w:t>), осуществляется:</w:t>
      </w:r>
    </w:p>
    <w:p>
      <w:pPr>
        <w:pStyle w:val="Style26"/>
        <w:rPr/>
      </w:pPr>
      <w:r>
        <w:rPr/>
        <w:t>в соответствии с единственным ценовым критерием оценки (критерием выбора Победителя) – стоимость заявки (цена Договора);</w:t>
      </w:r>
    </w:p>
    <w:p>
      <w:pPr>
        <w:pStyle w:val="Style26"/>
        <w:rPr/>
      </w:pPr>
      <w:r>
        <w:rPr/>
        <w:t>в едином базисе без учета НДС;</w:t>
      </w:r>
    </w:p>
    <w:p>
      <w:pPr>
        <w:pStyle w:val="Style26"/>
        <w:rPr/>
      </w:pPr>
      <w:r>
        <w:rPr/>
        <w:t>с последующим формированием по итогам этого ранжировки заявок по мере повышения стоимости заявки (цены Договора). При этом первое место в ранжировке присваивается заявке с наименьшей стоимостью заявки. Если несколько заявок имеют одинаковую стоимость,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w:t>
      </w:r>
    </w:p>
    <w:p>
      <w:pPr>
        <w:pStyle w:val="Style25"/>
        <w:rPr/>
      </w:pPr>
      <w:r>
        <w:rPr/>
        <w:t>Оценка и сопоставление заявок проводится только на основании представленных в составе заявки документов и сведений. Применение иного порядка и (или) критериев оценки и сопоставления заявок, кроме предусмотренных Документацией о закупке, не допускается.</w:t>
      </w:r>
    </w:p>
    <w:p>
      <w:pPr>
        <w:pStyle w:val="Style25"/>
        <w:rPr/>
      </w:pPr>
      <w:r>
        <w:rPr/>
        <w:t>Если проводилась переторжка, оценка и сопоставление заявок, а также их ранжировка осуществляются с учетом предложений, полученных по результатам переторжки (последней переторжки – если она проводилась многократно). Заявки Участников, не принявших участие в переторжке, учитываются при построении ранжировки заявок с первоначальными, указанными в их заявках предложениями (или с предложениями, принятыми Организатором в рамках последней прошедшей переторжки – если она проводилась многократно).</w:t>
      </w:r>
    </w:p>
    <w:p>
      <w:pPr>
        <w:pStyle w:val="Style25"/>
        <w:rPr/>
      </w:pPr>
      <w:r>
        <w:rPr/>
        <w:t>Оценка и сопоставление заявок, а также их ранжировка, осуществляется с учетом применения законодательства о национальном режиме, в т.ч. ПП 1875 (подраздел </w:t>
      </w:r>
      <w:r>
        <w:rPr/>
        <w:fldChar w:fldCharType="begin"/>
      </w:r>
      <w:r>
        <w:rPr/>
        <w:instrText xml:space="preserve"> REF _Ref130985951 \r \h </w:instrText>
      </w:r>
      <w:r>
        <w:rPr/>
        <w:fldChar w:fldCharType="separate"/>
      </w:r>
      <w:r>
        <w:rPr/>
        <w:t>4.13</w:t>
      </w:r>
      <w:r>
        <w:rPr/>
        <w:fldChar w:fldCharType="end"/>
      </w:r>
      <w:r>
        <w:rPr/>
        <w:t>).</w:t>
      </w:r>
    </w:p>
    <w:p>
      <w:pPr>
        <w:pStyle w:val="Style25"/>
        <w:rPr/>
      </w:pPr>
      <w:r>
        <w:rPr/>
        <w:t>Результаты оценки и сопоставления заявок вносятся в итоговый протокол по результатам закупки.</w:t>
      </w:r>
    </w:p>
    <w:p>
      <w:pPr>
        <w:pStyle w:val="Style24"/>
        <w:rPr/>
      </w:pPr>
      <w:bookmarkStart w:id="171" w:name="_Ref130458671"/>
      <w:bookmarkStart w:id="172" w:name="_Ref125370507"/>
      <w:bookmarkStart w:id="173" w:name="_Ref125369991"/>
      <w:bookmarkStart w:id="174" w:name="_Ref125366064"/>
      <w:bookmarkStart w:id="175" w:name="_Ref130985951"/>
      <w:bookmarkStart w:id="176" w:name="_Ref186128193"/>
      <w:bookmarkStart w:id="177" w:name="_Ref132894111"/>
      <w:bookmarkStart w:id="178" w:name="_Toc220500996"/>
      <w:bookmarkStart w:id="179" w:name="_Ref132894106"/>
      <w:r>
        <w:rPr/>
        <w:t>Применение законодательства о национальном режиме</w:t>
      </w:r>
      <w:bookmarkEnd w:id="171"/>
      <w:bookmarkEnd w:id="172"/>
      <w:bookmarkEnd w:id="173"/>
      <w:bookmarkEnd w:id="174"/>
      <w:bookmarkEnd w:id="175"/>
      <w:bookmarkEnd w:id="176"/>
      <w:bookmarkEnd w:id="177"/>
      <w:bookmarkEnd w:id="178"/>
      <w:bookmarkEnd w:id="179"/>
    </w:p>
    <w:p>
      <w:pPr>
        <w:pStyle w:val="Style25"/>
        <w:rPr/>
      </w:pPr>
      <w:r>
        <w:rPr/>
        <w:t>Настоящий подраздел применяется исходя из информации, установленной в подразделе </w:t>
      </w:r>
      <w:r>
        <w:rPr/>
        <w:fldChar w:fldCharType="begin"/>
      </w:r>
      <w:r>
        <w:rPr/>
        <w:instrText xml:space="preserve"> REF _Ref125359973 \r \h </w:instrText>
      </w:r>
      <w:r>
        <w:rPr/>
        <w:fldChar w:fldCharType="separate"/>
      </w:r>
      <w:r>
        <w:rPr/>
        <w:t>1.2</w:t>
      </w:r>
      <w:r>
        <w:rPr/>
        <w:fldChar w:fldCharType="end"/>
      </w:r>
      <w:r>
        <w:rPr/>
        <w:t>.</w:t>
      </w:r>
    </w:p>
    <w:p>
      <w:pPr>
        <w:pStyle w:val="Style25"/>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запрета закупки иностранной продукции, то не допускается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 </w:t>
      </w:r>
      <w:r>
        <w:rPr/>
        <w:fldChar w:fldCharType="begin"/>
      </w:r>
      <w:r>
        <w:rPr/>
        <w:instrText xml:space="preserve"> REF _Ref135749133 \r \h </w:instrText>
      </w:r>
      <w:r>
        <w:rPr/>
        <w:fldChar w:fldCharType="separate"/>
      </w:r>
      <w:r>
        <w:rPr/>
        <w:t>4.9</w:t>
      </w:r>
      <w:r>
        <w:rPr/>
        <w:fldChar w:fldCharType="end"/>
      </w:r>
      <w:r>
        <w:rPr/>
        <w:t>).</w:t>
      </w:r>
    </w:p>
    <w:p>
      <w:pPr>
        <w:pStyle w:val="Style25"/>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4.9).</w:t>
      </w:r>
    </w:p>
    <w:p>
      <w:pPr>
        <w:pStyle w:val="Style25"/>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преимущества российской продукции, то при оценке и сопоставлении заявок, а также их ранжировке (подраздел </w:t>
      </w:r>
      <w:r>
        <w:rPr/>
        <w:fldChar w:fldCharType="begin"/>
      </w:r>
      <w:r>
        <w:rPr/>
        <w:instrText xml:space="preserve"> REF _Ref125362626 \r \h </w:instrText>
      </w:r>
      <w:r>
        <w:rPr/>
        <w:fldChar w:fldCharType="separate"/>
      </w:r>
      <w:r>
        <w:rPr/>
        <w:t>4.12</w:t>
      </w:r>
      <w:r>
        <w:rPr/>
        <w:fldChar w:fldCharType="end"/>
      </w:r>
      <w:r>
        <w:rPr/>
        <w:t>), осуществляется снижение</w:t>
      </w:r>
      <w:r>
        <w:rPr>
          <w:rStyle w:val="FootnoteReference"/>
        </w:rPr>
        <w:footnoteReference w:id="9"/>
      </w:r>
      <w:r>
        <w:rP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p>
    <w:p>
      <w:pPr>
        <w:pStyle w:val="Style25"/>
        <w:rPr/>
      </w:pPr>
      <w:r>
        <w:rP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anchor="Прил01_ТехТребования">
        <w:r>
          <w:rPr>
            <w:rStyle w:val="Style14"/>
          </w:rPr>
          <w:t>Технических требованиях (Приложение № 1)</w:t>
        </w:r>
      </w:hyperlink>
      <w:r>
        <w:rPr/>
        <w:t>.</w:t>
      </w:r>
    </w:p>
    <w:p>
      <w:pPr>
        <w:pStyle w:val="Style24"/>
        <w:rPr/>
      </w:pPr>
      <w:bookmarkStart w:id="180" w:name="_Toc220500997"/>
      <w:bookmarkStart w:id="181" w:name="_Ref125366091"/>
      <w:bookmarkStart w:id="182" w:name="_Ref125362658"/>
      <w:bookmarkStart w:id="183" w:name="_Ref125367242"/>
      <w:r>
        <w:rPr/>
        <w:t>Подведение итогов закупки (определение Победителя)</w:t>
      </w:r>
      <w:bookmarkEnd w:id="180"/>
      <w:bookmarkEnd w:id="181"/>
      <w:bookmarkEnd w:id="182"/>
      <w:bookmarkEnd w:id="183"/>
    </w:p>
    <w:p>
      <w:pPr>
        <w:pStyle w:val="Style25"/>
        <w:rPr/>
      </w:pPr>
      <w:r>
        <w:rPr/>
        <w:t>Дата окончания срока подведения итогов закупки указана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данный срок, официально разместив информацию об этом.</w:t>
      </w:r>
    </w:p>
    <w:p>
      <w:pPr>
        <w:pStyle w:val="Style25"/>
        <w:rPr/>
      </w:pPr>
      <w:r>
        <w:rPr/>
        <w:t>На основании полученных результатов оценки и сопоставления заявок Организатор подводит итоги закупки. Победителем закупки признается Участник, заявка которого заняла 1 (первое) место в ранжировке заявок по итогам рассмотрения, оценки и сопоставления заявок.</w:t>
      </w:r>
    </w:p>
    <w:p>
      <w:pPr>
        <w:pStyle w:val="Style25"/>
        <w:rPr/>
      </w:pPr>
      <w:r>
        <w:rPr/>
        <w:t>Перед 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В рамках постквалификации Организатор вправе запросить у Участника предоставление документов и (или) информации, подтверждающих представленные в заявке сведения, а также провести дополнительную проверку достоверности представленных документов и информации. Постквалификация проводится по отборочным критериям (</w:t>
      </w:r>
      <w:hyperlink w:anchor="Прил07_ОтборочныеКритерии">
        <w:r>
          <w:rPr>
            <w:rStyle w:val="Style14"/>
          </w:rPr>
          <w:t>Приложение № 7</w:t>
        </w:r>
      </w:hyperlink>
      <w:r>
        <w:rPr/>
        <w:t>), относящимся к соответствию Участника установленным требованиям Документации о закупке. Заявка Участника, не отвечающего необходимым требованиям, отклоняется, при этом Организатор вправе продолжить процедуру проверки в отношении Участника, занявшего следующее место в ранжировке.</w:t>
      </w:r>
    </w:p>
    <w:p>
      <w:pPr>
        <w:pStyle w:val="Style25"/>
        <w:rPr/>
      </w:pPr>
      <w:r>
        <w:rPr/>
        <w:t>Если к моменту подведения итогов закупки с выбором в качестве Победителя ранее аккредитованного Участника прошло более 6 (шести) календарных месяцев с даты присвоения ему статуса «аккредитован» / «аккредитация не требуется», перед окончательным определением Победителя проводится процедура актуализации статуса аккредитации данного Участника. Если по результатам такой проверки Участнику присвоен статус «не аккредитован», его заявка отклоняется, а Закупочная комиссия имеет право выбрать в качестве Победителя иного Участника, занявшего следующее после него место в ранжировке заявок, из числа остальных действующих заявок (при наличии у него актуального статуса аккредитации).</w:t>
      </w:r>
    </w:p>
    <w:p>
      <w:pPr>
        <w:pStyle w:val="Style25"/>
        <w:keepNext w:val="true"/>
        <w:rPr/>
      </w:pPr>
      <w:bookmarkStart w:id="184" w:name="_Ref125365974"/>
      <w:r>
        <w:rPr/>
        <w:t>Решение Закупочной комиссии по определению Победителя оформляется итоговым протоколом по результатам закупки, в котором, как минимум, указываются</w:t>
      </w:r>
      <w:r>
        <w:rPr>
          <w:rStyle w:val="FootnoteReference"/>
        </w:rPr>
        <w:footnoteReference w:id="10"/>
      </w:r>
      <w:r>
        <w:rPr/>
        <w:t>:</w:t>
      </w:r>
      <w:bookmarkEnd w:id="184"/>
    </w:p>
    <w:p>
      <w:pPr>
        <w:pStyle w:val="Style26"/>
        <w:rPr/>
      </w:pPr>
      <w:r>
        <w:rPr/>
        <w:t>дата подписания протокола;</w:t>
      </w:r>
    </w:p>
    <w:p>
      <w:pPr>
        <w:pStyle w:val="Style26"/>
        <w:rPr/>
      </w:pPr>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6"/>
        <w:rPr/>
      </w:pPr>
      <w:r>
        <w:rPr/>
        <w:t>идентификационные номера заявок Участников, допущенных по результатам рассмотрения заявок, присваиваемые Оператором ЭП;</w:t>
      </w:r>
    </w:p>
    <w:p>
      <w:pPr>
        <w:pStyle w:val="Style26"/>
        <w:keepNext w:val="true"/>
        <w:rPr/>
      </w:pPr>
      <w:r>
        <w:rPr/>
        <w:t>результаты дополнительного рассмотрения заявок (при возникновении оснований для отклонения заявок по результатам проведения постквалификации или актуализации статуса аккредитации, если такие процедуры проводились) с указанием, в том числе:</w:t>
      </w:r>
    </w:p>
    <w:p>
      <w:pPr>
        <w:pStyle w:val="Style27"/>
        <w:rPr/>
      </w:pPr>
      <w:r>
        <w:rPr/>
        <w:t>количества заявок, которые были отклонены;</w:t>
      </w:r>
    </w:p>
    <w:p>
      <w:pPr>
        <w:pStyle w:val="Style27"/>
        <w:rPr/>
      </w:pPr>
      <w:r>
        <w:rPr/>
        <w:t>оснований отклонения каждой заявки с указанием положений Документации о закупке, которым не соответствует такая заявка;</w:t>
      </w:r>
    </w:p>
    <w:p>
      <w:pPr>
        <w:pStyle w:val="Style26"/>
        <w:rPr/>
      </w:pPr>
      <w:r>
        <w:rPr/>
        <w:t xml:space="preserve">результаты оценки и сопоставления заявок с указанием, в том числе, если в соответствии с </w:t>
      </w:r>
      <w:hyperlink w:anchor="Прил08_ПорядокОценки">
        <w:r>
          <w:rPr>
            <w:rStyle w:val="Style14"/>
          </w:rPr>
          <w:t>Порядком и критериями оценки и сопоставления заявок (Приложение № 8)</w:t>
        </w:r>
      </w:hyperlink>
      <w:r>
        <w:rPr/>
        <w:t xml:space="preserve"> был предусмотрен многокритериальный порядок оценки, значения (в баллах), присвоенного каждой заявке по каждому из предусмотренных критериев оценки, установленных в Документации о закупке;</w:t>
      </w:r>
    </w:p>
    <w:p>
      <w:pPr>
        <w:pStyle w:val="Style26"/>
        <w:rPr/>
      </w:pPr>
      <w:r>
        <w:rPr/>
        <w:t>порядковые номера каждой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 и проведения переторжки (если указанные процедуры проводились), в ранжировке заявок;</w:t>
      </w:r>
    </w:p>
    <w:p>
      <w:pPr>
        <w:pStyle w:val="Style26"/>
        <w:rPr/>
      </w:pPr>
      <w:r>
        <w:rPr/>
        <w:t>идентификационный номер заявки Победителя закупки или Единственного участника несостоявшейся закупки, с которым планируется заключить Договор;</w:t>
      </w:r>
    </w:p>
    <w:p>
      <w:pPr>
        <w:pStyle w:val="Style26"/>
        <w:rPr/>
      </w:pPr>
      <w:r>
        <w:rPr/>
        <w:t>причины, по которым закупка признана несостоявшейся (в случае ее признания таковой),</w:t>
      </w:r>
    </w:p>
    <w:p>
      <w:pPr>
        <w:pStyle w:val="Style29"/>
        <w:ind w:left="1134" w:hanging="0"/>
        <w:rPr/>
      </w:pPr>
      <w:r>
        <w:rPr/>
        <w:t>после чего Организатор официально размещает его в течение 3 (трех) календарных дней с даты подписания такого протокола.</w:t>
      </w:r>
    </w:p>
    <w:p>
      <w:pPr>
        <w:pStyle w:val="Style25"/>
        <w:rPr/>
      </w:pPr>
      <w:r>
        <w:rPr/>
        <w:t>Победитель дополнительно уведомляется о результатах проводимой закупки с использованием ЭП – уведомление направляется Оператором ЭП согласно Регламенту ЭП.</w:t>
      </w:r>
    </w:p>
    <w:p>
      <w:pPr>
        <w:pStyle w:val="Style25"/>
        <w:rPr/>
      </w:pPr>
      <w:r>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или потери им статуса), информация о новом Победителе официально размещается Организатором в том же порядке.</w:t>
      </w:r>
    </w:p>
    <w:p>
      <w:pPr>
        <w:pStyle w:val="Style24"/>
        <w:rPr/>
      </w:pPr>
      <w:bookmarkStart w:id="185" w:name="_Toc220500998"/>
      <w:bookmarkStart w:id="186" w:name="_Ref125366796"/>
      <w:bookmarkStart w:id="187" w:name="_Ref125366631"/>
      <w:bookmarkStart w:id="188" w:name="_Ref125365570"/>
      <w:bookmarkStart w:id="189" w:name="_Ref125365305"/>
      <w:bookmarkStart w:id="190" w:name="_Ref125364187"/>
      <w:bookmarkStart w:id="191" w:name="_Ref125364149"/>
      <w:r>
        <w:rPr/>
        <w:t>Признание закупки несостоявшейся</w:t>
      </w:r>
      <w:bookmarkEnd w:id="185"/>
      <w:bookmarkEnd w:id="186"/>
      <w:bookmarkEnd w:id="187"/>
      <w:bookmarkEnd w:id="188"/>
      <w:bookmarkEnd w:id="189"/>
      <w:bookmarkEnd w:id="190"/>
      <w:bookmarkEnd w:id="191"/>
    </w:p>
    <w:p>
      <w:pPr>
        <w:pStyle w:val="Style25"/>
        <w:keepNext w:val="true"/>
        <w:rPr/>
      </w:pPr>
      <w:r>
        <w:rPr/>
        <w:t>Закупка признается несостоявшейся в следующих случаях:</w:t>
      </w:r>
    </w:p>
    <w:p>
      <w:pPr>
        <w:pStyle w:val="Style26"/>
        <w:rPr/>
      </w:pPr>
      <w:r>
        <w:rPr/>
        <w:t>если по окончанию срока подачи заявок поступило менее 2 (двух) заявок (с учетом возможных отзывов заявок);</w:t>
      </w:r>
    </w:p>
    <w:p>
      <w:pPr>
        <w:pStyle w:val="Style26"/>
        <w:rPr/>
      </w:pPr>
      <w:r>
        <w:rPr/>
        <w:t>по результатам рассмотрения заявок Закупочной комиссией принято решение о признании менее 2 (двух) заявок соответствующими требованиям Документации о закупки.</w:t>
      </w:r>
    </w:p>
    <w:p>
      <w:pPr>
        <w:pStyle w:val="Style25"/>
        <w:rPr/>
      </w:pPr>
      <w:r>
        <w:rPr/>
        <w:t>Указанные обстоятельства в случае их наступления фиксируются в соответствующем протоколе, оформляемом по результатам проведения закупки (или ее этапа).</w:t>
      </w:r>
    </w:p>
    <w:p>
      <w:pPr>
        <w:pStyle w:val="Style25"/>
        <w:keepNext w:val="true"/>
        <w:rPr/>
      </w:pPr>
      <w:r>
        <w:rPr/>
        <w:t>В случае признания закупки несостоявшейся Заказчик вправе (с учетом условий, предусмотренных Положением о закупке):</w:t>
      </w:r>
    </w:p>
    <w:p>
      <w:pPr>
        <w:pStyle w:val="Style26"/>
        <w:rPr/>
      </w:pPr>
      <w:r>
        <w:rPr/>
        <w:t>принять решение о проведении повторной закупки;</w:t>
      </w:r>
    </w:p>
    <w:p>
      <w:pPr>
        <w:pStyle w:val="Style26"/>
        <w:rPr/>
      </w:pPr>
      <w:r>
        <w:rPr/>
        <w:t>заключить договор с Единственным участником несостоявшейся закупки (раздел </w:t>
      </w:r>
      <w:r>
        <w:rPr/>
        <w:fldChar w:fldCharType="begin"/>
      </w:r>
      <w:r>
        <w:rPr/>
        <w:instrText xml:space="preserve"> REF _Ref126142429 \r \h </w:instrText>
      </w:r>
      <w:r>
        <w:rPr/>
        <w:fldChar w:fldCharType="separate"/>
      </w:r>
      <w:r>
        <w:rPr/>
        <w:t>5</w:t>
      </w:r>
      <w:r>
        <w:rPr/>
        <w:fldChar w:fldCharType="end"/>
      </w:r>
      <w:r>
        <w:rPr/>
        <w:t>);</w:t>
      </w:r>
    </w:p>
    <w:p>
      <w:pPr>
        <w:pStyle w:val="Style26"/>
        <w:rPr/>
      </w:pPr>
      <w:r>
        <w:rPr/>
        <w:t>отказаться от дополнительного повторного проведения данной закупки (при отсутствии заявок, соответствующих установленным требованиям, по результатам повторного проведения закупки).</w:t>
      </w:r>
    </w:p>
    <w:p>
      <w:pPr>
        <w:pStyle w:val="Style24"/>
        <w:rPr/>
      </w:pPr>
      <w:bookmarkStart w:id="192" w:name="_Toc220500999"/>
      <w:bookmarkStart w:id="193" w:name="_Ref126141962"/>
      <w:r>
        <w:rPr/>
        <w:t>Отказ от проведения закупки</w:t>
      </w:r>
      <w:bookmarkEnd w:id="193"/>
      <w:r>
        <w:rPr/>
        <w:t xml:space="preserve"> (отмена закупки)</w:t>
      </w:r>
      <w:bookmarkEnd w:id="192"/>
    </w:p>
    <w:p>
      <w:pPr>
        <w:pStyle w:val="Style25"/>
        <w:rPr/>
      </w:pPr>
      <w:r>
        <w:rPr/>
        <w:t xml:space="preserve">Организатор закупки имеет право отказаться от проведения закупки не позднее окончания срока подачи заявок, установленного в пункте 1.2.18, не неся никакой ответственности перед Участниками, или третьими лицами, которым такое действие может принести убытки. </w:t>
      </w:r>
    </w:p>
    <w:p>
      <w:pPr>
        <w:pStyle w:val="Style25"/>
        <w:rPr/>
      </w:pPr>
      <w:r>
        <w:rPr/>
        <w:t>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 на ЭТП.</w:t>
      </w:r>
    </w:p>
    <w:p>
      <w:pPr>
        <w:pStyle w:val="Style25"/>
        <w:rPr/>
      </w:pPr>
      <w:r>
        <w:rPr/>
        <w:t>Дополнительно организатор уведомляет всех Участников об отмене закупки посредством ЭП.</w:t>
      </w:r>
    </w:p>
    <w:p>
      <w:pPr>
        <w:pStyle w:val="Style25"/>
        <w:rPr/>
      </w:pPr>
      <w:r>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 а также в случае признания закупки несостоявшейся в соответствии с условиями подраздела 4.15.</w:t>
      </w:r>
    </w:p>
    <w:p>
      <w:pPr>
        <w:pStyle w:val="Style24"/>
        <w:rPr/>
      </w:pPr>
      <w:bookmarkStart w:id="194" w:name="_Ref130455226"/>
      <w:bookmarkStart w:id="195" w:name="_Toc220501000"/>
      <w:r>
        <w:rPr/>
        <w:t>Особенности проведения закупки с необходимостью обеспечения заявки</w:t>
      </w:r>
      <w:bookmarkEnd w:id="194"/>
      <w:bookmarkEnd w:id="195"/>
    </w:p>
    <w:p>
      <w:pPr>
        <w:pStyle w:val="Style25"/>
        <w:rPr/>
      </w:pPr>
      <w:r>
        <w:rPr/>
        <w:t>Нормы настоящего подраздела применяются,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предусмотрена обязанность Участников предоставить обеспечение заявки на участие в закупке.</w:t>
      </w:r>
    </w:p>
    <w:p>
      <w:pPr>
        <w:pStyle w:val="Style25"/>
        <w:rPr/>
      </w:pPr>
      <w: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5"/>
        <w:rPr/>
      </w:pPr>
      <w:r>
        <w:rPr/>
        <w:t>Обязательства Участников, связанные с подачей заявок, обеспечиваются в форме перечисления денежных средств в порядке и размере в соответствии с подразделом </w:t>
      </w:r>
      <w:r>
        <w:rPr/>
        <w:fldChar w:fldCharType="begin"/>
      </w:r>
      <w:r>
        <w:rPr/>
        <w:instrText xml:space="preserve"> REF _Ref125359973 \r \h </w:instrText>
      </w:r>
      <w:r>
        <w:rPr/>
        <w:fldChar w:fldCharType="separate"/>
      </w:r>
      <w:r>
        <w:rPr/>
        <w:t>1.2</w:t>
      </w:r>
      <w:r>
        <w:rPr/>
        <w:fldChar w:fldCharType="end"/>
      </w:r>
      <w:r>
        <w:rPr/>
        <w:t>. Выбор формы (способа) обеспечения из числа предусмотренных осуществляется Участниками самостоятельно.</w:t>
      </w:r>
    </w:p>
    <w:p>
      <w:pPr>
        <w:pStyle w:val="Style25"/>
        <w:rPr/>
      </w:pPr>
      <w:r>
        <w:rPr/>
        <w:t>В случае выбора Участником обеспечения заявки в виде денежных средств, такие денежные средства в требуемом размере должны быть внесены до момента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на индивидуальные счет, открытый Участнику Оператором ЭП в соответствии с Регламентом ЭП. В противном случае обеспечение заявки считается невнесенным, и Организатор обязан отклонить заявку такого Участника.</w:t>
      </w:r>
    </w:p>
    <w:p>
      <w:pPr>
        <w:pStyle w:val="Style25"/>
        <w:rPr/>
      </w:pPr>
      <w:r>
        <w:rPr/>
        <w:t>В случае выбора Участником обеспечения заявки путем предоставление банковской гарантии (в том числе электронной банковской гарантии, выданной посредством функционала ЭП), такая банковская гарантия составляется с учетом требований статей 368 – 378 ГК РФ, а также следующих условий:</w:t>
      </w:r>
    </w:p>
    <w:p>
      <w:pPr>
        <w:pStyle w:val="Style26"/>
        <w:rPr/>
      </w:pPr>
      <w:r>
        <w:rPr/>
        <w:t>банковская гарантия должна быть безотзывной и безусловной (гарантия по первому требованию);</w:t>
      </w:r>
    </w:p>
    <w:p>
      <w:pPr>
        <w:pStyle w:val="Style26"/>
        <w:rPr/>
      </w:pPr>
      <w:r>
        <w:rPr/>
        <w:t>сумма банковской гарантии должна быть выражена в российских рублях и составлять не менее суммы в размере, указанном в подразделе </w:t>
      </w:r>
      <w:r>
        <w:rPr/>
        <w:fldChar w:fldCharType="begin"/>
      </w:r>
      <w:r>
        <w:rPr/>
        <w:instrText xml:space="preserve"> REF _Ref125359973 \r \h </w:instrText>
      </w:r>
      <w:r>
        <w:rPr/>
        <w:fldChar w:fldCharType="separate"/>
      </w:r>
      <w:r>
        <w:rPr/>
        <w:t>1.2</w:t>
      </w:r>
      <w:r>
        <w:rPr/>
        <w:fldChar w:fldCharType="end"/>
      </w:r>
      <w:r>
        <w:rPr/>
        <w:t>;</w:t>
      </w:r>
    </w:p>
    <w:p>
      <w:pPr>
        <w:pStyle w:val="Style26"/>
        <w:rPr/>
      </w:pPr>
      <w:r>
        <w:rPr/>
        <w:t>банковская гарантия должна действовать не менее 120 (ста двадцати) календарных дней с даты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w:t>
      </w:r>
    </w:p>
    <w:p>
      <w:pPr>
        <w:pStyle w:val="Style26"/>
        <w:rPr/>
      </w:pPr>
      <w:r>
        <w:rPr/>
        <w:t>бенефициаром в банковской гарантии должен быть указан Заказчик, принципалом – Участник, гарантом – банк, выдавший банковскую гарантию;</w:t>
      </w:r>
    </w:p>
    <w:p>
      <w:pPr>
        <w:pStyle w:val="Style26"/>
        <w:rPr/>
      </w:pPr>
      <w:r>
        <w:rPr/>
        <w:t>в банковской гарантии должно быть предусмотрено безусловное право Заказчика на истребование суммы банковской гарантии полностью или частично, в случае нарушения Участником закупки своих обязательств, указанных в пункте </w:t>
      </w:r>
      <w:r>
        <w:rPr/>
        <w:fldChar w:fldCharType="begin"/>
      </w:r>
      <w:r>
        <w:rPr/>
        <w:instrText xml:space="preserve"> REF _Ref149576299 \r \h </w:instrText>
      </w:r>
      <w:r>
        <w:rPr/>
        <w:fldChar w:fldCharType="separate"/>
      </w:r>
      <w:r>
        <w:rPr/>
        <w:t>4.17.11</w:t>
      </w:r>
      <w:r>
        <w:rPr/>
        <w:fldChar w:fldCharType="end"/>
      </w:r>
      <w:r>
        <w:rPr/>
        <w:t>;</w:t>
      </w:r>
    </w:p>
    <w:p>
      <w:pPr>
        <w:pStyle w:val="Style26"/>
        <w:rPr/>
      </w:pPr>
      <w:r>
        <w:rPr/>
        <w:t>в банковской гарантии должно быть предусмотрено, что для истребования суммы обеспечения Заказчик направляет гаранту только письменное требование с приложением документов, подтверждающих полномочия лица, подписавшего указанное требование (доверенность – в случае если требование подписано лицом, не указанным в ЕГРЮЛ в качестве лица, имеющего право без доверенности действовать от имени бенефициара), с указанием на существо допущенных Участником нарушений;</w:t>
      </w:r>
    </w:p>
    <w:p>
      <w:pPr>
        <w:pStyle w:val="Style26"/>
        <w:rPr/>
      </w:pPr>
      <w:r>
        <w:rPr/>
        <w:t>платеж по банковской гарантии должен быть осуществлен в течение 10 (десяти) рабочих дней после обращения бенефициара;</w:t>
      </w:r>
    </w:p>
    <w:p>
      <w:pPr>
        <w:pStyle w:val="Style26"/>
        <w:rPr/>
      </w:pPr>
      <w:r>
        <w:rPr/>
        <w:t>в банковской гарантии не должно быть условий или требований, противоречащих вышеизложенному или делающих вышеизложенное неисполнимым;</w:t>
      </w:r>
    </w:p>
    <w:p>
      <w:pPr>
        <w:pStyle w:val="Style26"/>
        <w:rPr/>
      </w:pPr>
      <w:r>
        <w:rPr/>
        <w:t>банковская гарантия должна быть выдана банком, включенным в перечень, определенный Правительством Российской Федерации в соответствии с Законом 44-ФЗ и размещенный на официальном сайте Министерства финансов Российской Федерации</w:t>
      </w:r>
      <w:r>
        <w:rPr>
          <w:rStyle w:val="FootnoteReference"/>
        </w:rPr>
        <w:footnoteReference w:id="11"/>
      </w:r>
      <w:r>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Российской Федерации;</w:t>
      </w:r>
    </w:p>
    <w:p>
      <w:pPr>
        <w:pStyle w:val="Style26"/>
        <w:rPr/>
      </w:pPr>
      <w:r>
        <w:rPr/>
        <w:t>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а также предусматривать Арбитражный суд по месту нахождения Заказчика в качестве органа, компетентного разрешать споры из банковской гарантии.</w:t>
      </w:r>
    </w:p>
    <w:p>
      <w:pPr>
        <w:pStyle w:val="Style25"/>
        <w:rPr/>
      </w:pPr>
      <w:r>
        <w:rPr/>
        <w:t>В случае выбора Участником обеспечения заявки путем предоставления банковской гарантии он должен предоставить в составе своей заявки копию такой гарантии (либо электронную банковскую гарантию, выданную банком посредством функционала ЭП), подтверждающую наличие обеспечения заявки в требуемом размере и соответствующую требованиям к условиям такой гарантии. В противном случае обеспечение заявки считается невнесенным, и Организатор обязан отклонить заявку такого Участника.</w:t>
      </w:r>
    </w:p>
    <w:p>
      <w:pPr>
        <w:pStyle w:val="Style25"/>
        <w:rPr/>
      </w:pPr>
      <w:r>
        <w:rPr/>
        <w:t>При многолотовой закупке (подраздел </w:t>
      </w:r>
      <w:r>
        <w:rPr/>
        <w:fldChar w:fldCharType="begin"/>
      </w:r>
      <w:r>
        <w:rPr/>
        <w:instrText xml:space="preserve"> REF _Ref149317414 \n \h </w:instrText>
      </w:r>
      <w:r>
        <w:rPr/>
        <w:fldChar w:fldCharType="separate"/>
      </w:r>
      <w:r>
        <w:rPr/>
        <w:t>4.18</w:t>
      </w:r>
      <w:r>
        <w:rPr/>
        <w:fldChar w:fldCharType="end"/>
      </w:r>
      <w:r>
        <w:rPr/>
        <w:t>) обеспечение исполнения обязательств Участника оформляется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 которые Участник подал заявку и по которым он был признан Победителем.</w:t>
      </w:r>
    </w:p>
    <w:p>
      <w:pPr>
        <w:pStyle w:val="Style25"/>
        <w:rPr/>
      </w:pPr>
      <w:r>
        <w:rPr/>
        <w:t>При подаче заявки с альтернативными предложениями (подраздел </w:t>
      </w:r>
      <w:r>
        <w:rPr/>
        <w:fldChar w:fldCharType="begin"/>
      </w:r>
      <w:r>
        <w:rPr/>
        <w:instrText xml:space="preserve"> REF _Ref125550863 \r \h </w:instrText>
      </w:r>
      <w:r>
        <w:rPr/>
        <w:fldChar w:fldCharType="separate"/>
      </w:r>
      <w:r>
        <w:rPr/>
        <w:t>4.19</w:t>
      </w:r>
      <w:r>
        <w:rPr/>
        <w:fldChar w:fldCharType="end"/>
      </w:r>
      <w:r>
        <w:rPr/>
        <w:t>) размер обеспечения заявки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pPr>
        <w:pStyle w:val="Style25"/>
        <w:rPr/>
      </w:pPr>
      <w:r>
        <w:rPr/>
        <w:t>Подать заявку (принять участие в закупке) могут только Участники, предоставившие надлежащее обеспечение их заявок.</w:t>
      </w:r>
    </w:p>
    <w:p>
      <w:pPr>
        <w:pStyle w:val="Style25"/>
        <w:rPr/>
      </w:pPr>
      <w:r>
        <w:rPr/>
        <w:t>Требование об обеспечении заявки в равной мере распространяется на всех Участников.</w:t>
      </w:r>
    </w:p>
    <w:p>
      <w:pPr>
        <w:pStyle w:val="Style25"/>
        <w:keepNext w:val="true"/>
        <w:rPr/>
      </w:pPr>
      <w:bookmarkStart w:id="196" w:name="_Ref149576299"/>
      <w:r>
        <w:rPr/>
        <w:t>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bookmarkEnd w:id="196"/>
    </w:p>
    <w:p>
      <w:pPr>
        <w:pStyle w:val="Style26"/>
        <w:rPr/>
      </w:pPr>
      <w:r>
        <w:rPr/>
        <w:t>обязательство заключить Договор в установленном Документацией о закупке порядке (раздел </w:t>
      </w:r>
      <w:r>
        <w:rPr/>
        <w:fldChar w:fldCharType="begin"/>
      </w:r>
      <w:r>
        <w:rPr/>
        <w:instrText xml:space="preserve"> REF _Ref130224037 \r \h </w:instrText>
      </w:r>
      <w:r>
        <w:rPr/>
        <w:fldChar w:fldCharType="separate"/>
      </w:r>
      <w:r>
        <w:rPr/>
        <w:t>5</w:t>
      </w:r>
      <w:r>
        <w:rPr/>
        <w:fldChar w:fldCharType="end"/>
      </w:r>
      <w:r>
        <w:rPr/>
        <w:t>), в том числе предоставить Сведения о цепочке собственников, включая бенефициаров (в том числе конечных) (</w:t>
      </w:r>
      <w:hyperlink w:anchor="Прил05_ФормыПобедителя">
        <w:r>
          <w:rPr>
            <w:rStyle w:val="Style14"/>
          </w:rPr>
          <w:t>Приложение № 5</w:t>
        </w:r>
      </w:hyperlink>
      <w:r>
        <w:rPr/>
        <w:t>), а также предоставить иные документы в соответствии с условиями подраздела </w:t>
      </w:r>
      <w:r>
        <w:rPr/>
        <w:fldChar w:fldCharType="begin"/>
      </w:r>
      <w:r>
        <w:rPr/>
        <w:instrText xml:space="preserve"> REF _Ref138232981 \r \h </w:instrText>
      </w:r>
      <w:r>
        <w:rPr/>
        <w:fldChar w:fldCharType="separate"/>
      </w:r>
      <w:r>
        <w:rPr/>
        <w:t>5.2</w:t>
      </w:r>
      <w:r>
        <w:rPr/>
        <w:fldChar w:fldCharType="end"/>
      </w:r>
      <w:r>
        <w:rPr/>
        <w:t>;</w:t>
      </w:r>
    </w:p>
    <w:p>
      <w:pPr>
        <w:pStyle w:val="Style26"/>
        <w:rPr/>
      </w:pPr>
      <w:r>
        <w:rPr/>
        <w:t xml:space="preserve">обязательство предоставить до заключения договора Заказчику обеспечение исполнения договора – если </w:t>
      </w:r>
      <w:hyperlink w:anchor="Прил02_ПроектДоговора">
        <w:r>
          <w:rPr>
            <w:rStyle w:val="Style14"/>
          </w:rPr>
          <w:t>Проект договора (Приложение № 2)</w:t>
        </w:r>
      </w:hyperlink>
      <w:r>
        <w:rPr/>
        <w:t xml:space="preserve"> предусматривает обеспечение исполнения договора с соответствующими обязательствами (в порядке и сроки, предусмотренные </w:t>
      </w:r>
      <w:hyperlink w:anchor="Прил02_ПроектДоговора">
        <w:r>
          <w:rPr>
            <w:rStyle w:val="Style14"/>
          </w:rPr>
          <w:t>Проектом договора</w:t>
        </w:r>
      </w:hyperlink>
      <w:r>
        <w:rPr/>
        <w:t>).</w:t>
      </w:r>
    </w:p>
    <w:p>
      <w:pPr>
        <w:pStyle w:val="Style25"/>
        <w:rPr/>
      </w:pPr>
      <w:r>
        <w:rPr/>
        <w:t>В случае невыполнения Победителем указанных выше обязательств Организатор вправе удержать обеспечение заявки путем обращения в соответствующую Банк-гарант. В случае предоставления Участником обеспечения в виде денежных средств, Организатор вправе удержать обеспечение заявки со счета, открытого ему Оператором ЭП, в соответствии с регламентом ЭП.</w:t>
      </w:r>
    </w:p>
    <w:p>
      <w:pPr>
        <w:pStyle w:val="Style25"/>
        <w:keepNext w:val="true"/>
        <w:rPr/>
      </w:pPr>
      <w:r>
        <w:rPr/>
        <w:t>Возврат обеспечения заявки (в случае предоставления Участником обеспечения в виде денежных средств) осуществляется Организатором в срок не более 7 (семи) рабочих дней с даты:</w:t>
      </w:r>
    </w:p>
    <w:p>
      <w:pPr>
        <w:pStyle w:val="Style26"/>
        <w:rPr/>
      </w:pPr>
      <w:r>
        <w:rPr/>
        <w:t>принятия решения об отказе от проведения закупки – всем Участникам, подавшим заявки к моменту принятия такого решения;</w:t>
      </w:r>
    </w:p>
    <w:p>
      <w:pPr>
        <w:pStyle w:val="Style26"/>
        <w:rPr/>
      </w:pPr>
      <w:r>
        <w:rPr/>
        <w:t>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p>
    <w:p>
      <w:pPr>
        <w:pStyle w:val="Style26"/>
        <w:rPr/>
      </w:pPr>
      <w:r>
        <w:rPr/>
        <w:t>официального размещения протокола рассмотрения заявок (при условии его оформления) – Участникам, чьи заявки были отклонены;</w:t>
      </w:r>
    </w:p>
    <w:p>
      <w:pPr>
        <w:pStyle w:val="Style26"/>
        <w:rPr/>
      </w:pPr>
      <w:r>
        <w:rPr/>
        <w:t>официального размещения итогового протокола по результатам закупки – всем Участникам, кроме Победителя;</w:t>
      </w:r>
    </w:p>
    <w:p>
      <w:pPr>
        <w:pStyle w:val="Style26"/>
        <w:rPr/>
      </w:pPr>
      <w:r>
        <w:rPr/>
        <w:t>заключения Договора по результатам закупки – Победителю, с которым заключен Договор;</w:t>
      </w:r>
    </w:p>
    <w:p>
      <w:pPr>
        <w:pStyle w:val="Style26"/>
        <w:rPr/>
      </w:pPr>
      <w:r>
        <w:rPr/>
        <w:t>признания закупки несостоявшейся – Участнику, которому обеспечение не было возвращено по иным основаниям.</w:t>
      </w:r>
    </w:p>
    <w:p>
      <w:pPr>
        <w:pStyle w:val="Style25"/>
        <w:rPr/>
      </w:pPr>
      <w:r>
        <w:rPr/>
        <w:t>Возврат обеспечения заявки может быть задержан в случае поступления в установленном законодательством порядке жалобы по закупке (подраздел </w:t>
      </w:r>
      <w:r>
        <w:rPr/>
        <w:fldChar w:fldCharType="begin"/>
      </w:r>
      <w:r>
        <w:rPr/>
        <w:instrText xml:space="preserve"> REF _Ref125363536 \r \h </w:instrText>
      </w:r>
      <w:r>
        <w:rPr/>
        <w:fldChar w:fldCharType="separate"/>
      </w:r>
      <w:r>
        <w:rPr/>
        <w:t>2.3</w:t>
      </w:r>
      <w:r>
        <w:rPr/>
        <w:fldChar w:fldCharType="end"/>
      </w:r>
      <w:r>
        <w:rPr/>
        <w:t>)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p>
    <w:p>
      <w:pPr>
        <w:pStyle w:val="Style24"/>
        <w:rPr/>
      </w:pPr>
      <w:bookmarkStart w:id="197" w:name="_Ref149317414"/>
      <w:bookmarkStart w:id="198" w:name="_Ref130225422"/>
      <w:bookmarkStart w:id="199" w:name="_Toc220501001"/>
      <w:r>
        <w:rPr/>
        <w:t>Особенности проведения многолотовой закупки</w:t>
      </w:r>
      <w:bookmarkEnd w:id="197"/>
      <w:bookmarkEnd w:id="198"/>
      <w:bookmarkEnd w:id="199"/>
    </w:p>
    <w:p>
      <w:pPr>
        <w:pStyle w:val="Style25"/>
        <w:rPr/>
      </w:pPr>
      <w:r>
        <w:rPr/>
        <w:t>Нормы настоящего подраздела применяются,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предусмотрено проведение многолотовой закупки.</w:t>
      </w:r>
    </w:p>
    <w:p>
      <w:pPr>
        <w:pStyle w:val="Style25"/>
        <w:rPr/>
      </w:pPr>
      <w: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5"/>
        <w:rPr/>
      </w:pPr>
      <w:r>
        <w:rPr/>
        <w:t>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w:t>
      </w:r>
      <w:r>
        <w:rPr/>
        <w:t>указан номер конкретного лота, относятся ко всем лотам одновременно.</w:t>
      </w:r>
    </w:p>
    <w:p>
      <w:pPr>
        <w:pStyle w:val="Style25"/>
        <w:rPr/>
      </w:pPr>
      <w:r>
        <w:rPr/>
        <w:t>Участник может подать одну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 В многолотовой закупке подача Участником по одной заявке на каждый лот не считается подачей второй заявки на закупку.</w:t>
      </w:r>
    </w:p>
    <w:p>
      <w:pPr>
        <w:pStyle w:val="Style25"/>
        <w:keepNext w:val="true"/>
        <w:rPr/>
      </w:pPr>
      <w:r>
        <w:rPr/>
        <w:t>В случае подачи заявки на несколько лотов дополнительно должны быть соблюдены следующие требования:</w:t>
      </w:r>
    </w:p>
    <w:p>
      <w:pPr>
        <w:pStyle w:val="Style26"/>
        <w:rPr/>
      </w:pPr>
      <w:r>
        <w:rPr/>
        <w:t>Письмо о подаче оферты (форма 2) (</w:t>
      </w:r>
      <w:hyperlink w:anchor="Прил04_ФормыЗаявки">
        <w:r>
          <w:rPr>
            <w:rStyle w:val="Style14"/>
          </w:rPr>
          <w:t>Приложение № 4</w:t>
        </w:r>
      </w:hyperlink>
      <w:r>
        <w:rPr/>
        <w:t>) должно содержать указание номера и названия каждого лота, по каждому лоту должна быть указана его стоимость;</w:t>
      </w:r>
    </w:p>
    <w:p>
      <w:pPr>
        <w:pStyle w:val="Style26"/>
        <w:rPr/>
      </w:pPr>
      <w:r>
        <w:rPr/>
        <w:t xml:space="preserve">Коммерческое предложение (форма 3), Техническое предложение (форма 4), Календарный график (форма 5), План распределения объемов поставки продукции (форма 11) – </w:t>
      </w:r>
      <w:hyperlink w:anchor="Прил04_ФормыЗаявки">
        <w:r>
          <w:rPr>
            <w:rStyle w:val="Style14"/>
          </w:rPr>
          <w:t>Приложение № 4</w:t>
        </w:r>
      </w:hyperlink>
      <w:r>
        <w:rPr/>
        <w:t>, должны быть подготовлены отдельно по каждому из лотов с указанием номера и названия лота.</w:t>
      </w:r>
    </w:p>
    <w:p>
      <w:pPr>
        <w:pStyle w:val="Style25"/>
        <w:rPr/>
      </w:pPr>
      <w:r>
        <w:rPr/>
        <w:t>Решения, принимаемые в ходе процедуры закупки, в том числе решения в рамках рассмотрения, оценки и сопоставления заявок, определения Победителя, признания закупки несостоявшейся, отказа от дальнейшего ее проведения и т.д., осуществляются раздельно и независимо по каждому из лотов. При этом Организатор вправе оформить по каждому лоту отдельный протокол закупки или сформировать общий по всем лотам протокол закупки, в который в отношении каждого лота вносятся сведения, подлежащие официальному размещению.</w:t>
      </w:r>
    </w:p>
    <w:p>
      <w:pPr>
        <w:pStyle w:val="Style24"/>
        <w:rPr/>
      </w:pPr>
      <w:bookmarkStart w:id="200" w:name="_Ref125550863"/>
      <w:bookmarkStart w:id="201" w:name="_Toc220501002"/>
      <w:r>
        <w:rPr/>
        <w:t>Особенности проведения закупки с возможностью подачи альтернативных предложений</w:t>
      </w:r>
      <w:bookmarkEnd w:id="200"/>
      <w:bookmarkEnd w:id="201"/>
    </w:p>
    <w:p>
      <w:pPr>
        <w:pStyle w:val="Style25"/>
        <w:rPr/>
      </w:pPr>
      <w:r>
        <w:rPr/>
        <w:t>Нормы настоящего подраздела применяются,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предусмотрена возможность подачи альтернативных предложений.</w:t>
      </w:r>
    </w:p>
    <w:p>
      <w:pPr>
        <w:pStyle w:val="Style25"/>
        <w:rPr/>
      </w:pPr>
      <w: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5"/>
        <w:rPr/>
      </w:pPr>
      <w:r>
        <w:rPr/>
        <w:t>Участник в составе заявки дополнительно к основному предложению вправе подготовить и подать альтернативные предложения в количестве, не превышающем установленное максимальное значение, и исключительно по аспектам, указанным в подразделе </w:t>
      </w:r>
      <w:r>
        <w:rPr/>
        <w:fldChar w:fldCharType="begin"/>
      </w:r>
      <w:r>
        <w:rPr/>
        <w:instrText xml:space="preserve"> REF _Ref125359973 \r \h </w:instrText>
      </w:r>
      <w:r>
        <w:rPr/>
        <w:fldChar w:fldCharType="separate"/>
      </w:r>
      <w:r>
        <w:rPr/>
        <w:t>1.2</w:t>
      </w:r>
      <w:r>
        <w:rPr/>
        <w:fldChar w:fldCharType="end"/>
      </w:r>
      <w:r>
        <w:rPr/>
        <w:t>. Требование о том, что участник имеет право подать только одну заявку, к альтернативным предложениям не относится. При этом не допускается подача заявки на часть какого-либо лота по отдельным видам или объемам продукции (в случае нарушения – поданная заявка в отношении такого лота подлежит отклонению).</w:t>
      </w:r>
    </w:p>
    <w:p>
      <w:pPr>
        <w:pStyle w:val="Style25"/>
        <w:rPr/>
      </w:pPr>
      <w:r>
        <w:rPr/>
        <w:t>Альтернативные предложения могут сопровождаться альтернативными ценами (не превышающими НМЦ, установленную в подразделе </w:t>
      </w:r>
      <w:r>
        <w:rPr/>
        <w:fldChar w:fldCharType="begin"/>
      </w:r>
      <w:r>
        <w:rPr/>
        <w:instrText xml:space="preserve"> REF _Ref125359973 \r \h </w:instrText>
      </w:r>
      <w:r>
        <w:rPr/>
        <w:fldChar w:fldCharType="separate"/>
      </w:r>
      <w:r>
        <w:rPr/>
        <w:t>1.2</w:t>
      </w:r>
      <w:r>
        <w:rPr/>
        <w:fldChar w:fldCharType="end"/>
      </w:r>
      <w:r>
        <w:rPr/>
        <w:t>). При этом альтернативные предложения, по сути отличающиеся от основного только ценой, рассматриваться не будут.</w:t>
      </w:r>
    </w:p>
    <w:p>
      <w:pPr>
        <w:pStyle w:val="Style25"/>
        <w:rPr/>
      </w:pPr>
      <w:r>
        <w:rPr/>
        <w:t>Альтернативное предложение должно быть явным образом выделено в составе заявки и обособлено от основного предложения и иных альтернативных предложений (должны быть представлены соответствующие измененные формы заявки (</w:t>
      </w:r>
      <w:hyperlink w:anchor="Прил04_ФормыЗаявки">
        <w:r>
          <w:rPr>
            <w:rStyle w:val="Style14"/>
          </w:rPr>
          <w:t>Приложение № 4</w:t>
        </w:r>
      </w:hyperlink>
      <w:r>
        <w:rPr/>
        <w:t>) с указанием в них тех параметров, пунктов, разделов и т.д. основного предложения, вместо которых предлагаются альтернативные). При этом в альтернативном предложении не следует дублировать документы, подтверждающие соответствие Участника установленным требованиям, а также формы заявки, которые не отличаются от форм основного предложения.</w:t>
      </w:r>
    </w:p>
    <w:p>
      <w:pPr>
        <w:pStyle w:val="Style25"/>
        <w:rPr/>
      </w:pPr>
      <w:r>
        <w:rPr/>
        <w:t>При проведении переторжки (подраздел </w:t>
      </w:r>
      <w:r>
        <w:rPr/>
        <w:fldChar w:fldCharType="begin"/>
      </w:r>
      <w:r>
        <w:rPr/>
        <w:instrText xml:space="preserve"> REF _Ref127536359 \r \h </w:instrText>
      </w:r>
      <w:r>
        <w:rPr/>
        <w:fldChar w:fldCharType="separate"/>
      </w:r>
      <w:r>
        <w:rPr/>
        <w:t>4.11</w:t>
      </w:r>
      <w:r>
        <w:rPr/>
        <w:fldChar w:fldCharType="end"/>
      </w:r>
      <w:r>
        <w:rPr/>
        <w:t>) альтернативные предложения Участников допускаются к ней наравне с основными предложениями.</w:t>
      </w:r>
    </w:p>
    <w:p>
      <w:pPr>
        <w:pStyle w:val="Style25"/>
        <w:rPr/>
      </w:pPr>
      <w:r>
        <w:rPr/>
        <w:t>Решения Закупочной комиссии по рассмотрению, оценке и сопоставлению заявок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 и наоборот. При формировании ранжировки заявок альтернативные предложения ранжируются отдельно (наравне с основными предложениями), с присвоением каждому предложению отдельного места в ранжировке.</w:t>
      </w:r>
    </w:p>
    <w:p>
      <w:pPr>
        <w:pStyle w:val="Style24"/>
        <w:rPr/>
      </w:pPr>
      <w:bookmarkStart w:id="202" w:name="_Ref125366312"/>
      <w:bookmarkStart w:id="203" w:name="_Toc220501003"/>
      <w:r>
        <w:rPr/>
        <w:t>Особенности проведения закупки с выбором нескольких победителей</w:t>
      </w:r>
      <w:bookmarkEnd w:id="202"/>
      <w:bookmarkEnd w:id="203"/>
    </w:p>
    <w:p>
      <w:pPr>
        <w:pStyle w:val="Style25"/>
        <w:rPr/>
      </w:pPr>
      <w: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5"/>
        <w:rPr/>
      </w:pPr>
      <w:r>
        <w:rPr/>
        <w:t>Количество победителей, которое намерен определить Организатор по итогам проведения закупки в рамках одного лота, указано в подразделе </w:t>
      </w:r>
      <w:r>
        <w:rPr/>
        <w:fldChar w:fldCharType="begin"/>
      </w:r>
      <w:r>
        <w:rPr/>
        <w:instrText xml:space="preserve"> REF _Ref125359973 \r \h </w:instrText>
      </w:r>
      <w:r>
        <w:rPr/>
        <w:fldChar w:fldCharType="separate"/>
      </w:r>
      <w:r>
        <w:rPr/>
        <w:t>1.2</w:t>
      </w:r>
      <w:r>
        <w:rPr/>
        <w:fldChar w:fldCharType="end"/>
      </w:r>
      <w:r>
        <w:rPr/>
        <w:t>.</w:t>
      </w:r>
    </w:p>
    <w:p>
      <w:pPr>
        <w:pStyle w:val="Style25"/>
        <w:keepNext w:val="true"/>
        <w:rPr/>
      </w:pPr>
      <w:r>
        <w:rPr/>
        <w:t>В случае намерения Организатора выбрать нескольких Победителей, может быть предусмотрен один из следующих механизмов:</w:t>
      </w:r>
    </w:p>
    <w:p>
      <w:pPr>
        <w:pStyle w:val="Style26"/>
        <w:rPr/>
      </w:pPr>
      <w:bookmarkStart w:id="204" w:name="_Ref125367291"/>
      <w:r>
        <w:rPr/>
        <w:t>выбор нескольких Победителей с целью распределения по частям общего объема потребности Заказчика между Победителями – в этом случае Участник вправе подать заявку как на весь объем лота, так и на его часть;</w:t>
      </w:r>
      <w:bookmarkEnd w:id="204"/>
    </w:p>
    <w:p>
      <w:pPr>
        <w:pStyle w:val="Style26"/>
        <w:rPr/>
      </w:pPr>
      <w:bookmarkStart w:id="205" w:name="_Ref125367298"/>
      <w:r>
        <w:rPr/>
        <w:t>выбор нескольких Победителей с целью заключения договоров на</w:t>
      </w:r>
      <w:r>
        <w:rPr>
          <w:lang w:val="en-US"/>
        </w:rPr>
        <w:t> </w:t>
      </w:r>
      <w:r>
        <w:rPr/>
        <w:t>одинаковый объем потребности с каждым из Победителей в целях последующего распределения фактического объема поставок продукции в ходе исполнения обязательств по заключенным договорам – в этом случае у Заказчика отсутствует обязанность произвести полную выборку продукции, указанную в договоре, заключаемом с каждым Победителем.</w:t>
      </w:r>
      <w:bookmarkEnd w:id="205"/>
    </w:p>
    <w:p>
      <w:pPr>
        <w:pStyle w:val="Style25"/>
        <w:rPr/>
      </w:pPr>
      <w:r>
        <w:rPr/>
        <w:t>Конкретный механизм выбора нескольких Победителей и правила распределения объемов продукции среди них установлены в подразделе </w:t>
      </w:r>
      <w:r>
        <w:rPr/>
        <w:fldChar w:fldCharType="begin"/>
      </w:r>
      <w:r>
        <w:rPr/>
        <w:instrText xml:space="preserve"> REF _Ref125359973 \r \h </w:instrText>
      </w:r>
      <w:r>
        <w:rPr/>
        <w:fldChar w:fldCharType="separate"/>
      </w:r>
      <w:r>
        <w:rPr/>
        <w:t>1.2</w:t>
      </w:r>
      <w:r>
        <w:rPr/>
        <w:fldChar w:fldCharType="end"/>
      </w:r>
      <w:r>
        <w:rPr/>
        <w:t>.</w:t>
      </w:r>
    </w:p>
    <w:p>
      <w:pPr>
        <w:pStyle w:val="Style25"/>
        <w:rPr/>
      </w:pPr>
      <w:r>
        <w:rPr/>
        <w:t xml:space="preserve">Заказчик вправе в одностороннем порядке расторгнуть заключенный договор с любым Победителем в случае ненадлежащего исполнения последним принятых на себя обязательств в соответствии с условиями </w:t>
      </w:r>
      <w:hyperlink w:anchor="Прил02_ПроектДоговора">
        <w:r>
          <w:rPr>
            <w:rStyle w:val="Style14"/>
          </w:rPr>
          <w:t>Проекта договора (Приложение № 2)</w:t>
        </w:r>
      </w:hyperlink>
      <w:r>
        <w:rPr/>
        <w:t>.</w:t>
      </w:r>
    </w:p>
    <w:p>
      <w:pPr>
        <w:pStyle w:val="Style25"/>
        <w:rPr/>
      </w:pPr>
      <w:r>
        <w:rPr/>
        <w:t>Порядок определения нескольких Победителей, установленный в подразделе </w:t>
      </w:r>
      <w:r>
        <w:rPr/>
        <w:fldChar w:fldCharType="begin"/>
      </w:r>
      <w:r>
        <w:rPr/>
        <w:instrText xml:space="preserve"> REF _Ref125359973 \r \h </w:instrText>
      </w:r>
      <w:r>
        <w:rPr/>
        <w:fldChar w:fldCharType="separate"/>
      </w:r>
      <w:r>
        <w:rPr/>
        <w:t>1.2</w:t>
      </w:r>
      <w:r>
        <w:rPr/>
        <w:fldChar w:fldCharType="end"/>
      </w:r>
      <w:r>
        <w:rPr/>
        <w:t>, является приоритетным по отношении к общему порядку определения Победителя, предусмотренному в подразделе </w:t>
      </w:r>
      <w:r>
        <w:rPr/>
        <w:fldChar w:fldCharType="begin"/>
      </w:r>
      <w:r>
        <w:rPr/>
        <w:instrText xml:space="preserve"> REF _Ref125367242 \w \h </w:instrText>
      </w:r>
      <w:r>
        <w:rPr/>
        <w:fldChar w:fldCharType="separate"/>
      </w:r>
      <w:r>
        <w:rPr/>
        <w:t>4.14</w:t>
      </w:r>
      <w:r>
        <w:rPr/>
        <w:fldChar w:fldCharType="end"/>
      </w:r>
      <w:r>
        <w:rPr/>
        <w:t>.</w:t>
      </w:r>
    </w:p>
    <w:p>
      <w:pPr>
        <w:pStyle w:val="Style32"/>
        <w:rPr/>
      </w:pPr>
      <w:r>
        <w:rPr/>
      </w:r>
    </w:p>
    <w:p>
      <w:pPr>
        <w:pStyle w:val="Style23"/>
        <w:rPr/>
      </w:pPr>
      <w:bookmarkStart w:id="206" w:name="_Ref125362671"/>
      <w:bookmarkStart w:id="207" w:name="_Ref125367087"/>
      <w:bookmarkStart w:id="208" w:name="_Ref125367083"/>
      <w:bookmarkStart w:id="209" w:name="_Ref125366769"/>
      <w:bookmarkStart w:id="210" w:name="_Ref125363439"/>
      <w:bookmarkStart w:id="211" w:name="_Ref125361212"/>
      <w:bookmarkStart w:id="212" w:name="_Toc220501004"/>
      <w:bookmarkStart w:id="213" w:name="_Ref130224037"/>
      <w:bookmarkStart w:id="214" w:name="_Ref126142429"/>
      <w:r>
        <w:rPr/>
        <w:t>Порядок заключения Договора</w:t>
      </w:r>
      <w:bookmarkEnd w:id="206"/>
      <w:bookmarkEnd w:id="207"/>
      <w:bookmarkEnd w:id="208"/>
      <w:bookmarkEnd w:id="209"/>
      <w:bookmarkEnd w:id="210"/>
      <w:bookmarkEnd w:id="211"/>
      <w:bookmarkEnd w:id="212"/>
      <w:bookmarkEnd w:id="213"/>
      <w:bookmarkEnd w:id="214"/>
    </w:p>
    <w:p>
      <w:pPr>
        <w:pStyle w:val="Style24"/>
        <w:rPr/>
      </w:pPr>
      <w:bookmarkStart w:id="215" w:name="_Toc220501005"/>
      <w:bookmarkStart w:id="216" w:name="_Ref139028625"/>
      <w:r>
        <w:rPr/>
        <w:t>Общие положения</w:t>
      </w:r>
      <w:bookmarkEnd w:id="215"/>
      <w:bookmarkEnd w:id="216"/>
    </w:p>
    <w:p>
      <w:pPr>
        <w:pStyle w:val="Style25"/>
        <w:rPr/>
      </w:pPr>
      <w:r>
        <w:rPr/>
        <w:t>Нормы настоящего раздела </w:t>
      </w:r>
      <w:r>
        <w:rPr/>
        <w:fldChar w:fldCharType="begin"/>
      </w:r>
      <w:r>
        <w:rPr/>
        <w:instrText xml:space="preserve"> REF _Ref126142429 \r \h </w:instrText>
      </w:r>
      <w:r>
        <w:rPr/>
        <w:fldChar w:fldCharType="separate"/>
      </w:r>
      <w:r>
        <w:rPr/>
        <w:t>5</w:t>
      </w:r>
      <w:r>
        <w:rPr/>
        <w:fldChar w:fldCharType="end"/>
      </w:r>
      <w:r>
        <w:rPr/>
        <w:t xml:space="preserve"> также применяются в отношении Единственного участника несостоявшейся закупки, с которым принято решение о заключении договора (к нему применяются те же нормы, что и в отношении Победителя).</w:t>
      </w:r>
    </w:p>
    <w:p>
      <w:pPr>
        <w:pStyle w:val="Style24"/>
        <w:rPr/>
      </w:pPr>
      <w:bookmarkStart w:id="217" w:name="_Ref125368755"/>
      <w:bookmarkStart w:id="218" w:name="_Toc220501006"/>
      <w:bookmarkStart w:id="219" w:name="_Ref125366947"/>
      <w:bookmarkStart w:id="220" w:name="_Ref135736094"/>
      <w:bookmarkStart w:id="221" w:name="_Ref138232981"/>
      <w:r>
        <w:rPr/>
        <w:t>Заключение Договора</w:t>
      </w:r>
      <w:bookmarkEnd w:id="217"/>
      <w:bookmarkEnd w:id="218"/>
      <w:bookmarkEnd w:id="219"/>
      <w:bookmarkEnd w:id="220"/>
      <w:bookmarkEnd w:id="221"/>
    </w:p>
    <w:p>
      <w:pPr>
        <w:pStyle w:val="Style25"/>
        <w:rPr/>
      </w:pPr>
      <w:bookmarkStart w:id="222" w:name="_Ref125362935"/>
      <w:bookmarkStart w:id="223" w:name="_Ref130293821"/>
      <w:r>
        <w:rPr/>
        <w:t>Договор между Заказчиком и Победителем заключается не ранее чем через 10 (десять) календарных дней и не позднее чем через 20 (двадцать) календарных дней с даты официального размещения итогового протокола по результатам закупки.</w:t>
      </w:r>
      <w:bookmarkEnd w:id="222"/>
      <w:bookmarkEnd w:id="223"/>
    </w:p>
    <w:p>
      <w:pPr>
        <w:pStyle w:val="Style25"/>
        <w:rPr/>
      </w:pPr>
      <w:r>
        <w:rPr/>
        <w:t>Договор не может быть заключен, если это запрещено законодательством о национальном режиме в случаях, установленных в подразделе </w:t>
      </w:r>
      <w:r>
        <w:rPr/>
        <w:fldChar w:fldCharType="begin"/>
      </w:r>
      <w:r>
        <w:rPr/>
        <w:instrText xml:space="preserve"> REF _Ref186128193 \r \h </w:instrText>
      </w:r>
      <w:r>
        <w:rPr/>
        <w:fldChar w:fldCharType="separate"/>
      </w:r>
      <w:r>
        <w:rPr/>
        <w:t>4.13</w:t>
      </w:r>
      <w:r>
        <w:rPr/>
        <w:fldChar w:fldCharType="end"/>
      </w:r>
      <w:r>
        <w:rPr/>
        <w:t>.</w:t>
      </w:r>
    </w:p>
    <w:p>
      <w:pPr>
        <w:pStyle w:val="Style25"/>
        <w:rPr/>
      </w:pPr>
      <w:bookmarkStart w:id="224" w:name="_Ref125363464"/>
      <w:r>
        <w:rPr/>
        <w:t>В целях заключения Договора Участник, признанный Победителем, обязан в срок не позднее 3 (трех) рабочих дней с даты официального размещения Организатором итогового протокола по результатам закупки, направить по адресу, определенному в подразделе </w:t>
      </w:r>
      <w:r>
        <w:rPr/>
        <w:fldChar w:fldCharType="begin"/>
      </w:r>
      <w:r>
        <w:rPr/>
        <w:instrText xml:space="preserve"> REF _Ref125359973 \r \h </w:instrText>
      </w:r>
      <w:r>
        <w:rPr/>
        <w:fldChar w:fldCharType="separate"/>
      </w:r>
      <w:r>
        <w:rPr/>
        <w:t>1.2</w:t>
      </w:r>
      <w:r>
        <w:rPr/>
        <w:fldChar w:fldCharType="end"/>
      </w:r>
      <w:r>
        <w:rPr/>
        <w:t xml:space="preserve"> как место подачи документов в отношении цепочки собственников, включая конечных бенефициаров, Справку о цепочке собственников, включая бенефициаров (в том числе конечных), по форме в соответствии с </w:t>
      </w:r>
      <w:hyperlink w:anchor="Прил05_ФормыПобедителя">
        <w:r>
          <w:rPr>
            <w:rStyle w:val="Style14"/>
          </w:rPr>
          <w:t>Приложением № 5</w:t>
        </w:r>
      </w:hyperlink>
      <w:r>
        <w:rPr/>
        <w:t>, с приложением подтверждающих документов согласно перечню, установленному в Приложении 1 к указанной справке. 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w:t>
      </w:r>
      <w:bookmarkEnd w:id="224"/>
    </w:p>
    <w:p>
      <w:pPr>
        <w:pStyle w:val="Style25"/>
        <w:keepNext w:val="true"/>
        <w:rPr/>
      </w:pPr>
      <w:bookmarkStart w:id="225" w:name="_Ref125551776"/>
      <w:r>
        <w:rPr/>
        <w:t xml:space="preserve">В срок не позднее 3 (трех) рабочих дней с даты официального размещения Организатором итогового протокола по результатам закупки, Победитель обязан предоставить Заказчику (скан-копии в формате </w:t>
      </w:r>
      <w:r>
        <w:rPr>
          <w:lang w:val="en-US"/>
        </w:rPr>
        <w:t>pdf</w:t>
      </w:r>
      <w:r>
        <w:rPr/>
        <w:t>):</w:t>
      </w:r>
      <w:bookmarkEnd w:id="225"/>
    </w:p>
    <w:p>
      <w:pPr>
        <w:pStyle w:val="Style26"/>
        <w:rPr/>
      </w:pPr>
      <w:r>
        <w:rPr/>
        <w:t xml:space="preserve">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Style14"/>
          </w:rPr>
          <w:t>Приложением № 5</w:t>
        </w:r>
      </w:hyperlink>
      <w:r>
        <w:rPr/>
        <w:t>;</w:t>
      </w:r>
    </w:p>
    <w:p>
      <w:pPr>
        <w:pStyle w:val="Style26"/>
        <w:rPr/>
      </w:pPr>
      <w:bookmarkStart w:id="226" w:name="_Ref125552642"/>
      <w:r>
        <w:rPr/>
        <w:t>если он принимал участие в переторжке в очной форме – документы своей заявки, подлежащие корректировке в строгом соответствии с его предложениями, заявленными в ходе проведения переторжки (подраздел </w:t>
      </w:r>
      <w:r>
        <w:rPr/>
        <w:fldChar w:fldCharType="begin"/>
      </w:r>
      <w:r>
        <w:rPr/>
        <w:instrText xml:space="preserve"> REF _Ref127536359 \r \h </w:instrText>
      </w:r>
      <w:r>
        <w:rPr/>
        <w:fldChar w:fldCharType="separate"/>
      </w:r>
      <w:r>
        <w:rPr/>
        <w:t>4.11</w:t>
      </w:r>
      <w:r>
        <w:rPr/>
        <w:fldChar w:fldCharType="end"/>
      </w:r>
      <w:r>
        <w:rPr/>
        <w:t>)</w:t>
      </w:r>
      <w:bookmarkEnd w:id="226"/>
      <w:r>
        <w:rPr/>
        <w:t>.</w:t>
      </w:r>
    </w:p>
    <w:p>
      <w:pPr>
        <w:pStyle w:val="Style25"/>
        <w:keepNext w:val="true"/>
        <w:rPr/>
      </w:pPr>
      <w:bookmarkStart w:id="227" w:name="_Ref125551072"/>
      <w:r>
        <w:rPr/>
        <w:t>Перед заключением Договора Победитель обязан предоставить Заказчику, не позднее сроков, установленных в пункте </w:t>
      </w:r>
      <w:r>
        <w:rPr/>
        <w:fldChar w:fldCharType="begin"/>
      </w:r>
      <w:r>
        <w:rPr/>
        <w:instrText xml:space="preserve"> REF _Ref130293821 \w \h </w:instrText>
      </w:r>
      <w:r>
        <w:rPr/>
        <w:fldChar w:fldCharType="separate"/>
      </w:r>
      <w:r>
        <w:rPr/>
        <w:t>5.2.1</w:t>
      </w:r>
      <w:r>
        <w:rPr/>
        <w:fldChar w:fldCharType="end"/>
      </w:r>
      <w:r>
        <w:rPr/>
        <w:t>, в целях подтверждения своего соответствия обязательному требованию к Участникам, указанному в пункте </w:t>
      </w:r>
      <w:r>
        <w:rPr/>
        <w:fldChar w:fldCharType="begin"/>
      </w:r>
      <w:r>
        <w:rPr/>
        <w:instrText xml:space="preserve"> REF _Ref125552433 \w \h </w:instrText>
      </w:r>
      <w:r>
        <w:rPr/>
        <w:fldChar w:fldCharType="separate"/>
      </w:r>
      <w:r>
        <w:rPr/>
        <w:t>1</w:t>
      </w:r>
      <w:r>
        <w:rPr/>
        <w:fldChar w:fldCharType="end"/>
      </w:r>
      <w:r>
        <w:rPr/>
        <w:t xml:space="preserve"> подраздела </w:t>
      </w:r>
      <w:r>
        <w:rPr/>
        <w:fldChar w:fldCharType="begin"/>
      </w:r>
      <w:r>
        <w:rPr/>
        <w:instrText xml:space="preserve"> REF _Ref125361435 \w \h </w:instrText>
      </w:r>
      <w:r>
        <w:rPr/>
        <w:fldChar w:fldCharType="separate"/>
      </w:r>
      <w:r>
        <w:rPr/>
        <w:t>8.2</w:t>
      </w:r>
      <w:r>
        <w:rPr/>
        <w:fldChar w:fldCharType="end"/>
      </w:r>
      <w:r>
        <w:rPr/>
        <w:t xml:space="preserve"> (</w:t>
      </w:r>
      <w:hyperlink w:anchor="Прил03_ТребованияУчастникам">
        <w:r>
          <w:rPr>
            <w:rStyle w:val="Style14"/>
          </w:rPr>
          <w:t>Приложение № 3</w:t>
        </w:r>
      </w:hyperlink>
      <w:r>
        <w:rPr/>
        <w:t xml:space="preserve">), следующие документы (скан-копии в формате </w:t>
      </w:r>
      <w:r>
        <w:rPr>
          <w:lang w:val="en-US"/>
        </w:rPr>
        <w:t>pdf</w:t>
      </w:r>
      <w:r>
        <w:rPr/>
        <w:t>)</w:t>
      </w:r>
      <w:r>
        <w:rPr>
          <w:rStyle w:val="FootnoteReference"/>
        </w:rPr>
        <w:footnoteReference w:id="12"/>
      </w:r>
      <w:r>
        <w:rPr/>
        <w:t>:</w:t>
      </w:r>
      <w:bookmarkEnd w:id="227"/>
    </w:p>
    <w:p>
      <w:pPr>
        <w:pStyle w:val="Style26"/>
        <w:keepNext w:val="true"/>
        <w:rPr/>
      </w:pPr>
      <w:r>
        <w:rPr/>
        <w:t>для юридического лица:</w:t>
      </w:r>
    </w:p>
    <w:p>
      <w:pPr>
        <w:pStyle w:val="Style27"/>
        <w:rPr/>
      </w:pPr>
      <w:r>
        <w:rPr/>
        <w:t>копия устава в действующей редакции с отметкой ИФНС либо копия нотариально заверенного устава (с отметкой нотариуса);</w:t>
      </w:r>
    </w:p>
    <w:p>
      <w:pPr>
        <w:pStyle w:val="Style27"/>
        <w:rPr/>
      </w:pPr>
      <w:bookmarkStart w:id="228" w:name="_Ref125638686"/>
      <w:r>
        <w:rPr/>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 заверенные Победителем;</w:t>
      </w:r>
      <w:bookmarkEnd w:id="228"/>
    </w:p>
    <w:p>
      <w:pPr>
        <w:pStyle w:val="Style27"/>
        <w:rPr/>
      </w:pPr>
      <w:r>
        <w:rPr/>
        <w:t>дополнительно предоставляется машиночитаемая доверенность (посредством информационных систем, на которых проводится закупка) на физическое лицо, которое подписывает договор;</w:t>
      </w:r>
    </w:p>
    <w:p>
      <w:pPr>
        <w:pStyle w:val="Style26"/>
        <w:rPr/>
      </w:pPr>
      <w:r>
        <w:rPr/>
        <w:t>для лица, зарегистрированного вне Российской Федерации: выписка из торгового реестра страны регистрации иностранного Участника;</w:t>
      </w:r>
    </w:p>
    <w:p>
      <w:pPr>
        <w:pStyle w:val="Style26"/>
        <w:rPr/>
      </w:pPr>
      <w:r>
        <w:rPr/>
        <w:t>для физического лица: нотариально заверенная копия всех страниц документа, удостоверяющего личность (паспорта);</w:t>
      </w:r>
    </w:p>
    <w:p>
      <w:pPr>
        <w:pStyle w:val="Style26"/>
        <w:rPr/>
      </w:pPr>
      <w:bookmarkStart w:id="229" w:name="_Ref125361554"/>
      <w:r>
        <w:rPr/>
        <w:t>если Договор заключается с лидером Коллективного участника, то в обязательном порядке предоставляется оригинал и (или) нотариально заверенная копия Соглашения между членами Коллективного участника, указанного в пункте </w:t>
      </w:r>
      <w:r>
        <w:rPr/>
        <w:fldChar w:fldCharType="begin"/>
      </w:r>
      <w:r>
        <w:rPr/>
        <w:instrText xml:space="preserve"> REF _Ref125366972 \r \h </w:instrText>
      </w:r>
      <w:r>
        <w:rPr/>
        <w:fldChar w:fldCharType="separate"/>
      </w:r>
      <w:r>
        <w:rPr/>
        <w:t>3.2.3</w:t>
      </w:r>
      <w:r>
        <w:rPr/>
        <w:fldChar w:fldCharType="end"/>
      </w:r>
      <w:r>
        <w:rPr/>
        <w:t>.</w:t>
      </w:r>
      <w:bookmarkEnd w:id="229"/>
    </w:p>
    <w:p>
      <w:pPr>
        <w:pStyle w:val="Style25"/>
        <w:rPr/>
      </w:pPr>
      <w:r>
        <w:rPr/>
        <w:t>Если в соответствии с законодательством и уставом Заказчика потребуется предварительное одобрение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 (пять) календарных дней с даты указанного одобрения.</w:t>
      </w:r>
    </w:p>
    <w:p>
      <w:pPr>
        <w:pStyle w:val="Style25"/>
        <w:rPr/>
      </w:pPr>
      <w:r>
        <w:rPr/>
        <w:t>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такого обжалования (за исключением случая возврата на предыдущий этап закупки).</w:t>
      </w:r>
    </w:p>
    <w:p>
      <w:pPr>
        <w:pStyle w:val="Style25"/>
        <w:keepNext w:val="true"/>
        <w:rPr/>
      </w:pPr>
      <w:bookmarkStart w:id="230" w:name="_Ref132288402"/>
      <w:r>
        <w:rPr/>
        <w:t>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230"/>
    </w:p>
    <w:p>
      <w:pPr>
        <w:pStyle w:val="Style26"/>
        <w:rPr/>
      </w:pPr>
      <w:r>
        <w:rPr/>
        <w:t>протокол преддоговорных переговоров между Заказчиком и Победителем (при проведении таковых);</w:t>
      </w:r>
    </w:p>
    <w:p>
      <w:pPr>
        <w:pStyle w:val="Style26"/>
        <w:rPr/>
      </w:pPr>
      <w:r>
        <w:rPr/>
        <w:t>итоговый протокол по результатам закупки;</w:t>
      </w:r>
    </w:p>
    <w:p>
      <w:pPr>
        <w:pStyle w:val="Style26"/>
        <w:rPr/>
      </w:pPr>
      <w:r>
        <w:rPr/>
        <w:t>Извещение и Документация о закупке со всеми изменениями;</w:t>
      </w:r>
    </w:p>
    <w:p>
      <w:pPr>
        <w:pStyle w:val="Style26"/>
        <w:rPr/>
      </w:pPr>
      <w:r>
        <w:rPr/>
        <w:t>заявка Победителя со всеми дополнениями и разъяснениями.</w:t>
      </w:r>
    </w:p>
    <w:p>
      <w:pPr>
        <w:pStyle w:val="Style25"/>
        <w:rPr/>
      </w:pPr>
      <w:bookmarkStart w:id="231" w:name="_Ref125368506"/>
      <w:r>
        <w:rPr/>
        <w:t>Сведения о заключенном Договоре в течение 3 (трех) рабочих дней со дня заключения такого Договора вносятся Заказчиком в Реестр договоров в ЕИС (если размещение таких сведений допустимо Законом 223-ФЗ). Если при заключении и исполнении Договора изменятся количество, объем, цена закупаемой продукции или сроки исполнения Договора (по сравнению с указанными в итоговом протоколе по результатам закупки), то в течение 10 (десяти) календарных дней со дня внесения таких изменений в Договор соответствующая информация с указанием измененных условий Договора также размещается Заказчиком в ЕИС (если размещение таких сведений допустимо Законом 223-ФЗ).</w:t>
      </w:r>
      <w:bookmarkEnd w:id="231"/>
    </w:p>
    <w:p>
      <w:pPr>
        <w:pStyle w:val="Style25"/>
        <w:keepNext w:val="true"/>
        <w:rPr/>
      </w:pPr>
      <w:r>
        <w:rPr/>
        <w:t>Если Договор заключается в электронной форме:</w:t>
      </w:r>
    </w:p>
    <w:p>
      <w:pPr>
        <w:pStyle w:val="Style26"/>
        <w:rPr/>
      </w:pPr>
      <w:bookmarkStart w:id="232" w:name="_Ref125552524"/>
      <w:r>
        <w:rPr/>
        <w:t>то он заключается с использованием Системы ЭДО, в 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 особенностях заключения Договора в электронной форме, содержатся в подразделе </w:t>
      </w:r>
      <w:r>
        <w:rPr/>
        <w:fldChar w:fldCharType="begin"/>
      </w:r>
      <w:r>
        <w:rPr/>
        <w:instrText xml:space="preserve"> REF _Ref125359973 \r \h </w:instrText>
      </w:r>
      <w:r>
        <w:rPr/>
        <w:fldChar w:fldCharType="separate"/>
      </w:r>
      <w:r>
        <w:rPr/>
        <w:t>1.2</w:t>
      </w:r>
      <w:r>
        <w:rPr/>
        <w:fldChar w:fldCharType="end"/>
      </w:r>
      <w:bookmarkEnd w:id="232"/>
      <w:r>
        <w:rPr/>
        <w:t>;</w:t>
      </w:r>
    </w:p>
    <w:p>
      <w:pPr>
        <w:pStyle w:val="Style26"/>
        <w:rPr/>
      </w:pPr>
      <w:r>
        <w:rPr/>
        <w:t>Заказчик в течение установленного в пункте </w:t>
      </w:r>
      <w:r>
        <w:rPr/>
        <w:fldChar w:fldCharType="begin"/>
      </w:r>
      <w:r>
        <w:rPr/>
        <w:instrText xml:space="preserve"> REF _Ref130293821 \r \h </w:instrText>
      </w:r>
      <w:r>
        <w:rPr/>
        <w:fldChar w:fldCharType="separate"/>
      </w:r>
      <w:r>
        <w:rPr/>
        <w:t>5.2.1</w:t>
      </w:r>
      <w:r>
        <w:rPr/>
        <w:fldChar w:fldCharType="end"/>
      </w:r>
      <w:r>
        <w:rPr/>
        <w:t xml:space="preserve"> срока направляет в адрес Победителя подписанный со своей стороны Проект договора с использованием функционала Системы ЭДО.</w:t>
      </w:r>
    </w:p>
    <w:p>
      <w:pPr>
        <w:pStyle w:val="Style25"/>
        <w:rPr/>
      </w:pPr>
      <w:r>
        <w:rPr/>
        <w:t>Если до момента заключения с Договора в отношении Победителя была проведена повторная проверка в рамках мониторинга аккредитованных поставщиков (в соответствии с Положением об аккредитации), и по результатам такой проверки ему присвоен статус «не аккредитован»,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 (при наличии у него статуса «аккредитован» / «аккредитация не требуется»).</w:t>
      </w:r>
    </w:p>
    <w:p>
      <w:pPr>
        <w:pStyle w:val="Style24"/>
        <w:rPr/>
      </w:pPr>
      <w:bookmarkStart w:id="233" w:name="_Ref125552570"/>
      <w:bookmarkStart w:id="234" w:name="_Toc220501007"/>
      <w:r>
        <w:rPr/>
        <w:t>Преддоговорные переговоры</w:t>
      </w:r>
      <w:bookmarkEnd w:id="233"/>
      <w:bookmarkEnd w:id="234"/>
    </w:p>
    <w:p>
      <w:pPr>
        <w:pStyle w:val="Style25"/>
        <w:keepNext w:val="true"/>
        <w:rPr/>
      </w:pPr>
      <w:r>
        <w:rPr/>
        <w:t>Проведение преддоговорных переговоров между Заказчиком и Победителем допускается только в отношении следующих вопросов:</w:t>
      </w:r>
    </w:p>
    <w:p>
      <w:pPr>
        <w:pStyle w:val="Style26"/>
        <w:rPr/>
      </w:pPr>
      <w:r>
        <w:rPr/>
        <w:t>снижение цены Договора (при этом объем закупаемой продукции, а также технические характеристики продукции, определенные в Документации о закупке и заявке Победителя, остаются неизменными);</w:t>
      </w:r>
    </w:p>
    <w:p>
      <w:pPr>
        <w:pStyle w:val="Style26"/>
        <w:rPr/>
      </w:pPr>
      <w:r>
        <w:rPr/>
        <w:t>увеличение объема закупаемой продукции (при этом цена Договора и технические характеристики продукции, определенные в Документации о закупке и заявке Победителя, остаются неизменными);</w:t>
      </w:r>
    </w:p>
    <w:p>
      <w:pPr>
        <w:pStyle w:val="Style26"/>
        <w:rPr/>
      </w:pPr>
      <w:r>
        <w:rPr/>
        <w:t>уточнение сроков исполнения обязательств по Договору (если заключение Договора и исполнение обязательств по нему не могут быть проведены в установленные сроки в связи с обжалованием результатов закупки в адрес Заказчика или антимонопольного органа, в связи с 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уставом и (или) локальными нормативными актами Заказчика);</w:t>
      </w:r>
    </w:p>
    <w:p>
      <w:pPr>
        <w:pStyle w:val="Style26"/>
        <w:rPr/>
      </w:pPr>
      <w:r>
        <w:rPr/>
        <w:t>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p>
    <w:p>
      <w:pPr>
        <w:pStyle w:val="Style26"/>
        <w:rPr/>
      </w:pPr>
      <w:r>
        <w:rPr/>
        <w:t>уточнение условий исполнения договора в лучшую для Заказчика сторону, в том числе: сокращение сроков исполнения Договора; отказ 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pPr>
        <w:pStyle w:val="Style25"/>
        <w:rPr/>
      </w:pPr>
      <w:r>
        <w:rPr/>
        <w:t>В любом случае не допускаются переговоры, направленные на изменение условий заключаемого Договора, которые ведут к ухудшению его условий для Заказчика.</w:t>
      </w:r>
    </w:p>
    <w:p>
      <w:pPr>
        <w:pStyle w:val="Style25"/>
        <w:rPr/>
      </w:pPr>
      <w:r>
        <w:rPr/>
        <w:t>Преддоговорные переговоры могут быть проведены в очной или заочной форме, в том числе с помощью средств аудио-, видео-конференцсвязи. Срок и формат проведения преддоговорных переговоров определяет Заказчик и (или) Организатор.</w:t>
      </w:r>
    </w:p>
    <w:p>
      <w:pPr>
        <w:pStyle w:val="Style25"/>
        <w:rPr/>
      </w:pPr>
      <w:r>
        <w:rPr/>
        <w:t>Результаты преддоговорных переговоров фиксируются в форме протокола</w:t>
      </w:r>
      <w:r>
        <w:rPr>
          <w:rStyle w:val="FootnoteReference"/>
        </w:rPr>
        <w:footnoteReference w:id="13"/>
      </w:r>
      <w:r>
        <w:rPr/>
        <w:t>, подписываемого Заказчиком и Победителем, который официально размещается в течение 3 (трех) календарных дней с момента их проведения, и должны быть учтены при заключении Договора.</w:t>
      </w:r>
    </w:p>
    <w:p>
      <w:pPr>
        <w:pStyle w:val="Style25"/>
        <w:rPr/>
      </w:pPr>
      <w:r>
        <w:rPr/>
        <w:t>Победитель вправе отказаться от участия в преддоговорных переговорах, при этом такой отказ не является отказом от заключения Договора. Если Заказчик и Победитель в ходе проведения преддоговорных переговоров не пришли к соглашению по вопросу положений, входящих в состав заключаемого Договора, или Победитель отказался от участия в преддоговорных переговорах, Договор заключается на условиях Документации о закупке и заявки такого Победителя (со всеми изменениями и дополнениями) в соответствии с пунктом </w:t>
      </w:r>
      <w:r>
        <w:rPr/>
        <w:fldChar w:fldCharType="begin"/>
      </w:r>
      <w:r>
        <w:rPr/>
        <w:instrText xml:space="preserve"> REF _Ref132288402 \r \h </w:instrText>
      </w:r>
      <w:r>
        <w:rPr/>
        <w:fldChar w:fldCharType="separate"/>
      </w:r>
      <w:r>
        <w:rPr/>
        <w:t>5.2.8</w:t>
      </w:r>
      <w:r>
        <w:rPr/>
        <w:fldChar w:fldCharType="end"/>
      </w:r>
      <w:r>
        <w:rPr/>
        <w:t>.</w:t>
      </w:r>
    </w:p>
    <w:p>
      <w:pPr>
        <w:pStyle w:val="Style24"/>
        <w:rPr/>
      </w:pPr>
      <w:bookmarkStart w:id="235" w:name="_Ref125367068"/>
      <w:bookmarkStart w:id="236" w:name="_Toc220501008"/>
      <w:r>
        <w:rPr/>
        <w:t>Уклонение Победителя от заключения Договора</w:t>
      </w:r>
      <w:bookmarkEnd w:id="235"/>
      <w:bookmarkEnd w:id="236"/>
    </w:p>
    <w:p>
      <w:pPr>
        <w:pStyle w:val="Style25"/>
        <w:keepNext w:val="true"/>
        <w:rPr/>
      </w:pPr>
      <w:r>
        <w:rPr/>
        <w:t>Если Победитель закупки:</w:t>
      </w:r>
    </w:p>
    <w:p>
      <w:pPr>
        <w:pStyle w:val="Style26"/>
        <w:rPr/>
      </w:pPr>
      <w:r>
        <w:rPr/>
        <w:t>не подпишет Договор в установленные Документацией о закупке сроки (пункт </w:t>
      </w:r>
      <w:r>
        <w:rPr/>
        <w:fldChar w:fldCharType="begin"/>
      </w:r>
      <w:r>
        <w:rPr/>
        <w:instrText xml:space="preserve"> REF _Ref130293821 \r \h </w:instrText>
      </w:r>
      <w:r>
        <w:rPr/>
        <w:fldChar w:fldCharType="separate"/>
      </w:r>
      <w:r>
        <w:rPr/>
        <w:t>5.2.1</w:t>
      </w:r>
      <w:r>
        <w:rPr/>
        <w:fldChar w:fldCharType="end"/>
      </w:r>
      <w:r>
        <w:rPr/>
        <w:t>);</w:t>
      </w:r>
    </w:p>
    <w:p>
      <w:pPr>
        <w:pStyle w:val="Style26"/>
        <w:rPr/>
      </w:pPr>
      <w:r>
        <w:rPr/>
        <w:t>откажется от подписания Договора на условиях, определяемых в соответствии с пунктом </w:t>
      </w:r>
      <w:r>
        <w:rPr/>
        <w:fldChar w:fldCharType="begin"/>
      </w:r>
      <w:r>
        <w:rPr/>
        <w:instrText xml:space="preserve"> REF _Ref132288402 \r \h </w:instrText>
      </w:r>
      <w:r>
        <w:rPr/>
        <w:fldChar w:fldCharType="separate"/>
      </w:r>
      <w:r>
        <w:rPr/>
        <w:t>5.2.8</w:t>
      </w:r>
      <w:r>
        <w:rPr/>
        <w:fldChar w:fldCharType="end"/>
      </w:r>
      <w:r>
        <w:rPr/>
        <w:t>;</w:t>
      </w:r>
    </w:p>
    <w:p>
      <w:pPr>
        <w:pStyle w:val="Style26"/>
        <w:rPr/>
      </w:pPr>
      <w:r>
        <w:rPr/>
        <w:t>не раскроет информацию в отношении всей цепочки собственников, включая бенефициаров (в том числе конечных), по установленной форме (</w:t>
      </w:r>
      <w:hyperlink w:anchor="Прил05_ФормыПобедителя">
        <w:r>
          <w:rPr>
            <w:rStyle w:val="Style14"/>
          </w:rPr>
          <w:t>Приложение № 5</w:t>
        </w:r>
      </w:hyperlink>
      <w:r>
        <w:rPr/>
        <w:t>), с приложением подтверждающих документов;</w:t>
      </w:r>
    </w:p>
    <w:p>
      <w:pPr>
        <w:pStyle w:val="Style26"/>
        <w:rPr/>
      </w:pPr>
      <w:r>
        <w:rPr/>
        <w:t xml:space="preserve">не предоставит 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Style14"/>
          </w:rPr>
          <w:t>Приложением № 5</w:t>
        </w:r>
      </w:hyperlink>
      <w:r>
        <w:rPr/>
        <w:t>;</w:t>
      </w:r>
    </w:p>
    <w:p>
      <w:pPr>
        <w:pStyle w:val="Style26"/>
        <w:rPr/>
      </w:pPr>
      <w:r>
        <w:rPr/>
        <w:t>не предоставит в установленный Заказчиком срок документы, указанные в пункте </w:t>
      </w:r>
      <w:r>
        <w:rPr/>
        <w:fldChar w:fldCharType="begin"/>
      </w:r>
      <w:r>
        <w:rPr/>
        <w:instrText xml:space="preserve"> REF _Ref125551776 \r \h </w:instrText>
      </w:r>
      <w:r>
        <w:rPr/>
        <w:fldChar w:fldCharType="separate"/>
      </w:r>
      <w:r>
        <w:rPr/>
        <w:t>5.2.4</w:t>
      </w:r>
      <w:r>
        <w:rPr/>
        <w:fldChar w:fldCharType="end"/>
      </w:r>
      <w:r>
        <w:rPr/>
        <w:t>, или предоставит их с нарушением требований, установленных в Документации о закупке;</w:t>
      </w:r>
    </w:p>
    <w:p>
      <w:pPr>
        <w:pStyle w:val="Style26"/>
        <w:rPr/>
      </w:pPr>
      <w:r>
        <w:rPr/>
        <w:t>не предоставит в установленный Заказчиком срок документы, указанные в пункте </w:t>
      </w:r>
      <w:r>
        <w:rPr/>
        <w:fldChar w:fldCharType="begin"/>
      </w:r>
      <w:r>
        <w:rPr/>
        <w:instrText xml:space="preserve"> REF _Ref125551072 \w \h </w:instrText>
      </w:r>
      <w:r>
        <w:rPr/>
        <w:fldChar w:fldCharType="separate"/>
      </w:r>
      <w:r>
        <w:rPr/>
        <w:t>5.2.5</w:t>
      </w:r>
      <w:r>
        <w:rPr/>
        <w:fldChar w:fldCharType="end"/>
      </w:r>
      <w:r>
        <w:rPr/>
        <w:t>, или предоставит их с нарушением требований, установленных в Документации о закупке;</w:t>
      </w:r>
    </w:p>
    <w:p>
      <w:pPr>
        <w:pStyle w:val="Style26"/>
        <w:rPr/>
      </w:pPr>
      <w:r>
        <w:rPr/>
        <w:t xml:space="preserve">не предоставит копии документов, обязательных к предоставлению Победителем закупки в соответствии с требованиями </w:t>
      </w:r>
      <w:hyperlink w:anchor="Прил01_ТехТребования">
        <w:r>
          <w:rPr>
            <w:rStyle w:val="Style14"/>
          </w:rPr>
          <w:t>Приложения № 1 – Технические требования</w:t>
        </w:r>
      </w:hyperlink>
      <w:r>
        <w:rPr/>
        <w:t xml:space="preserve"> (в случае установления таковых);</w:t>
      </w:r>
    </w:p>
    <w:p>
      <w:pPr>
        <w:pStyle w:val="Style26"/>
        <w:rPr/>
      </w:pPr>
      <w:r>
        <w:rPr/>
        <w:t>не предоставит обеспечение исполнения договора до момента его заключения, если Документация о закупке предусматривает обеспечение исполнения договора с соответствующими обязательствами;</w:t>
      </w:r>
    </w:p>
    <w:p>
      <w:pPr>
        <w:pStyle w:val="Style26"/>
        <w:rPr/>
      </w:pPr>
      <w:r>
        <w:rPr/>
        <w:t>не выполнит другие условия, прямо предусмотренные Документацией о закупке,</w:t>
      </w:r>
    </w:p>
    <w:p>
      <w:pPr>
        <w:pStyle w:val="Style29"/>
        <w:ind w:left="1134" w:hanging="0"/>
        <w:rPr/>
      </w:pPr>
      <w:r>
        <w:rPr/>
        <w:t>то он (по истечению установленных в подразделе </w:t>
      </w:r>
      <w:r>
        <w:rPr/>
        <w:fldChar w:fldCharType="begin"/>
      </w:r>
      <w:r>
        <w:rPr/>
        <w:instrText xml:space="preserve"> REF _Ref138232981 \r \h </w:instrText>
      </w:r>
      <w:r>
        <w:rPr/>
        <w:fldChar w:fldCharType="separate"/>
      </w:r>
      <w:r>
        <w:rPr/>
        <w:t>5.2</w:t>
      </w:r>
      <w:r>
        <w:rPr/>
        <w:fldChar w:fldCharType="end"/>
      </w:r>
      <w:r>
        <w:rPr/>
        <w:t xml:space="preserve"> сроков на заключение Договора) признается уклонившимся от заключения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p>
      <w:pPr>
        <w:pStyle w:val="Style23"/>
        <w:rPr/>
      </w:pPr>
      <w:bookmarkStart w:id="237" w:name="_Ref125363752"/>
      <w:bookmarkStart w:id="238" w:name="_Ref125364088"/>
      <w:bookmarkStart w:id="239" w:name="_Ref125370741"/>
      <w:bookmarkStart w:id="240" w:name="_Ref125363016"/>
      <w:bookmarkStart w:id="241" w:name="_Ref125363023"/>
      <w:bookmarkStart w:id="242" w:name="_Ref125363034"/>
      <w:bookmarkStart w:id="243" w:name="_Ref125363600"/>
      <w:bookmarkStart w:id="244" w:name="_Toc220501009"/>
      <w:bookmarkStart w:id="245" w:name="_Ref125370732"/>
      <w:bookmarkStart w:id="246" w:name="_Ref125364201"/>
      <w:bookmarkStart w:id="247" w:name="Прил01_ТехТребования"/>
      <w:bookmarkStart w:id="248" w:name="_Ref125370843"/>
      <w:bookmarkStart w:id="249" w:name="_Ref125370750"/>
      <w:bookmarkStart w:id="250" w:name="_Ref125370746"/>
      <w:r>
        <w:rPr/>
        <w:t>Приложение № 1 – Технические требования</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pPr>
        <w:pStyle w:val="Style24"/>
        <w:rPr/>
      </w:pPr>
      <w:bookmarkStart w:id="251" w:name="_Toc220501010"/>
      <w:r>
        <w:rPr/>
        <w:t>Пояснения к Техническим требованиям</w:t>
      </w:r>
      <w:bookmarkEnd w:id="251"/>
    </w:p>
    <w:p>
      <w:pPr>
        <w:pStyle w:val="Style25"/>
        <w:rPr/>
      </w:pPr>
      <w:r>
        <w:rPr/>
        <w:t>Технические требования к закупаемой продукции приведены в отдельном файле (предоставляются отдельным документом в составе Документации о закупке), являющимся Приложением № 1 к Документации о закупке.</w:t>
      </w:r>
    </w:p>
    <w:p>
      <w:pPr>
        <w:pStyle w:val="Style23"/>
        <w:rPr/>
      </w:pPr>
      <w:bookmarkStart w:id="252" w:name="_Ref125364206"/>
      <w:bookmarkStart w:id="253" w:name="_Ref125361746"/>
      <w:bookmarkStart w:id="254" w:name="_Toc220501011"/>
      <w:bookmarkStart w:id="255" w:name="Прил02_ПроектДоговора"/>
      <w:bookmarkStart w:id="256" w:name="_Ref125370754"/>
      <w:bookmarkStart w:id="257" w:name="_Ref125363605"/>
      <w:bookmarkStart w:id="258" w:name="_Ref125363040"/>
      <w:bookmarkStart w:id="259" w:name="_Ref125363759"/>
      <w:bookmarkStart w:id="260" w:name="_Ref125364081"/>
      <w:r>
        <w:rPr/>
        <w:t>Приложение № 2 – Проект договора</w:t>
      </w:r>
      <w:bookmarkEnd w:id="252"/>
      <w:bookmarkEnd w:id="253"/>
      <w:bookmarkEnd w:id="254"/>
      <w:bookmarkEnd w:id="255"/>
      <w:bookmarkEnd w:id="256"/>
      <w:bookmarkEnd w:id="257"/>
      <w:bookmarkEnd w:id="258"/>
      <w:bookmarkEnd w:id="259"/>
      <w:bookmarkEnd w:id="260"/>
    </w:p>
    <w:p>
      <w:pPr>
        <w:pStyle w:val="Style24"/>
        <w:rPr/>
      </w:pPr>
      <w:bookmarkStart w:id="261" w:name="_Toc220501012"/>
      <w:r>
        <w:rPr/>
        <w:t>Пояснения к Проекту договора</w:t>
      </w:r>
      <w:bookmarkEnd w:id="261"/>
    </w:p>
    <w:p>
      <w:pPr>
        <w:pStyle w:val="Style25"/>
        <w:rPr/>
      </w:pPr>
      <w:r>
        <w:rPr/>
        <w:t>Проект договора, заключаемого по результатам закупки, приведен в отдельном файле (предоставляется отдельным документом в составе Документации о закупке), являющимся Приложением № 2 к Документации о закупке.</w:t>
      </w:r>
    </w:p>
    <w:p>
      <w:pPr>
        <w:pStyle w:val="Style25"/>
        <w:rPr/>
      </w:pPr>
      <w:r>
        <w:rPr/>
        <w:t>Все положения Проекта договора являются существенными условиями для Заказчика, за исключением пунктов договора, указанных в подразделе </w:t>
      </w:r>
      <w:r>
        <w:rPr/>
        <w:fldChar w:fldCharType="begin"/>
      </w:r>
      <w:r>
        <w:rPr/>
        <w:instrText xml:space="preserve"> REF _Ref125359973 \r \h </w:instrText>
      </w:r>
      <w:r>
        <w:rPr/>
        <w:fldChar w:fldCharType="separate"/>
      </w:r>
      <w:r>
        <w:rPr/>
        <w:t>1.2</w:t>
      </w:r>
      <w:r>
        <w:rPr/>
        <w:fldChar w:fldCharType="end"/>
      </w:r>
      <w:r>
        <w:rPr/>
        <w:t xml:space="preserve"> </w:t>
      </w:r>
      <w:bookmarkStart w:id="262" w:name="_Hlk132883778"/>
      <w:r>
        <w:rPr/>
        <w:t>как «Некритичные пункты Проекта договора»</w:t>
      </w:r>
      <w:bookmarkEnd w:id="262"/>
      <w:r>
        <w:rPr/>
        <w:t>.</w:t>
      </w:r>
    </w:p>
    <w:p>
      <w:pPr>
        <w:pStyle w:val="Style25"/>
        <w:rPr/>
      </w:pPr>
      <w:r>
        <w:rPr/>
        <w:t>В случае проведения преддоговорных переговоров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Если Стороны не придут к соглашению об этих изменениях, они будут обязаны подписать Договор на условиях, изложенных в Документации о закупке.</w:t>
      </w:r>
    </w:p>
    <w:p>
      <w:pPr>
        <w:pStyle w:val="Style25"/>
        <w:rPr/>
      </w:pPr>
      <w:r>
        <w:rPr/>
        <w:t>Одновременно с подписанием Сторонами Договора или не позднее 3 (трех) рабочих дней после подписания Договора, Сторонами должно быть подписано дополнительное соглашение, форма которого приведена в отдельном файле в формате Microsoft Word (предоставляется отдельным документом в составе Документации о закупке), касающееся вопросов подтверждения Участником информации о цепочке собственников, включая бенефициаров (в том числе конечных):</w:t>
      </w:r>
      <w:bookmarkStart w:id="263" w:name="_MON_1736255517"/>
      <w:bookmarkEnd w:id="263"/>
    </w:p>
    <w:p>
      <w:pPr>
        <w:sectPr>
          <w:headerReference w:type="default" r:id="rId16"/>
          <w:headerReference w:type="first" r:id="rId17"/>
          <w:footerReference w:type="default" r:id="rId18"/>
          <w:footerReference w:type="first" r:id="rId19"/>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9"/>
        <w:jc w:val="center"/>
        <w:rPr/>
      </w:pPr>
      <w:r>
        <w:rPr/>
        <w:object>
          <v:shapetype id="_x0000_tole_rId14" coordsize="21600,21600" o:spt="ole_rId14"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14" type="_x0000_tole_rId14" style="width:77.6pt;height:50.5pt;mso-wrap-distance-right:0pt" filled="f" o:ole="">
            <v:imagedata r:id="rId15" o:title=""/>
          </v:shape>
          <o:OLEObject Type="Embed" ProgID="Word.Document.12" ShapeID="ole_rId14" DrawAspect="Icon" ObjectID="_1050267558" r:id="rId14"/>
        </w:object>
      </w:r>
    </w:p>
    <w:p>
      <w:pPr>
        <w:pStyle w:val="Style23"/>
        <w:rPr/>
      </w:pPr>
      <w:bookmarkStart w:id="264" w:name="_Toc220501013"/>
      <w:bookmarkStart w:id="265" w:name="Прил03_ТребованияУчастникам"/>
      <w:bookmarkStart w:id="266" w:name="_Ref125370013"/>
      <w:bookmarkStart w:id="267" w:name="_Ref125365476"/>
      <w:bookmarkStart w:id="268" w:name="_Ref125361494"/>
      <w:bookmarkStart w:id="269" w:name="_Ref125361908"/>
      <w:r>
        <w:rPr/>
        <w:t>Приложение № 3 – Требования к Участникам</w:t>
      </w:r>
      <w:bookmarkEnd w:id="264"/>
      <w:bookmarkEnd w:id="265"/>
      <w:bookmarkEnd w:id="266"/>
      <w:bookmarkEnd w:id="267"/>
      <w:bookmarkEnd w:id="268"/>
      <w:bookmarkEnd w:id="269"/>
    </w:p>
    <w:p>
      <w:pPr>
        <w:pStyle w:val="Style24"/>
        <w:rPr/>
      </w:pPr>
      <w:bookmarkStart w:id="270" w:name="_Toc220501014"/>
      <w:r>
        <w:rPr/>
        <w:t>Пояснения к требованиям к Участникам</w:t>
      </w:r>
      <w:bookmarkEnd w:id="270"/>
    </w:p>
    <w:p>
      <w:pPr>
        <w:pStyle w:val="Style25"/>
        <w:rPr/>
      </w:pPr>
      <w:bookmarkStart w:id="271" w:name="_Hlk125628168"/>
      <w:r>
        <w:rPr/>
        <w:t>Чтобы претендовать на победу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bookmarkEnd w:id="271"/>
    </w:p>
    <w:p>
      <w:pPr>
        <w:pStyle w:val="Style24"/>
        <w:spacing w:before="360" w:after="120"/>
        <w:rPr/>
      </w:pPr>
      <w:bookmarkStart w:id="272" w:name="_Ref125361832"/>
      <w:bookmarkStart w:id="273" w:name="_Ref125361846"/>
      <w:bookmarkStart w:id="274" w:name="_Ref125361617"/>
      <w:bookmarkStart w:id="275" w:name="_Ref125370071"/>
      <w:bookmarkStart w:id="276" w:name="_Ref125361435"/>
      <w:bookmarkStart w:id="277" w:name="_Ref125361590"/>
      <w:bookmarkStart w:id="278" w:name="_Ref125361926"/>
      <w:bookmarkStart w:id="279" w:name="_Ref125370058"/>
      <w:bookmarkStart w:id="280" w:name="_Toc220501015"/>
      <w:bookmarkStart w:id="281" w:name="_Ref125370064"/>
      <w:bookmarkStart w:id="282" w:name="_Ref125368812"/>
      <w:bookmarkStart w:id="283" w:name="_Ref125366879"/>
      <w:bookmarkStart w:id="284" w:name="_Ref125368895"/>
      <w:bookmarkStart w:id="285" w:name="_Ref125369088"/>
      <w:r>
        <w:rPr/>
        <w:t>Обязательные требования</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tbl>
      <w:tblPr>
        <w:tblStyle w:val="af4"/>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9"/>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29"/>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Участнику</w:t>
            </w:r>
          </w:p>
        </w:tc>
        <w:tc>
          <w:tcPr>
            <w:tcW w:w="8327" w:type="dxa"/>
            <w:tcBorders/>
          </w:tcPr>
          <w:p>
            <w:pPr>
              <w:pStyle w:val="Style29"/>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29"/>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86" w:name="_Ref125552433"/>
            <w:bookmarkStart w:id="287" w:name="_Ref125552433"/>
            <w:bookmarkEnd w:id="287"/>
          </w:p>
        </w:tc>
        <w:tc>
          <w:tcPr>
            <w:tcW w:w="5671"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Участник должен обладать гражданской правоспособностью в полном объеме для заключения и исполнения Договора, а также должен обладать статусом «аккредитован» в соответствии с Положением об аккредитации, либо являться лицом, указанным в пункте 3.11 Положения об аккредитации:</w:t>
            </w:r>
          </w:p>
        </w:tc>
        <w:tc>
          <w:tcPr>
            <w:tcW w:w="8327" w:type="dxa"/>
            <w:tcBorders/>
          </w:tcPr>
          <w:p>
            <w:pPr>
              <w:pStyle w:val="Style29"/>
              <w:widowControl w:val="false"/>
              <w:numPr>
                <w:ilvl w:val="0"/>
                <w:numId w:val="8"/>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отношении гражданской правоспособности:</w:t>
            </w:r>
          </w:p>
          <w:p>
            <w:pPr>
              <w:pStyle w:val="Style29"/>
              <w:widowControl w:val="false"/>
              <w:numPr>
                <w:ilvl w:val="0"/>
                <w:numId w:val="13"/>
              </w:numPr>
              <w:suppressAutoHyphens w:val="true"/>
              <w:spacing w:before="60" w:after="60"/>
              <w:ind w:left="568" w:hanging="284"/>
              <w:rPr>
                <w:rFonts w:ascii="Times New Roman" w:hAnsi="Times New Roman" w:eastAsia="Calibri" w:cs=""/>
                <w:kern w:val="0"/>
                <w:sz w:val="26"/>
                <w:szCs w:val="22"/>
                <w:lang w:eastAsia="en-US" w:bidi="ar-SA"/>
              </w:rPr>
            </w:pPr>
            <w:r>
              <w:rPr>
                <w:rFonts w:eastAsia="Calibri" w:cs=""/>
                <w:kern w:val="0"/>
                <w:sz w:val="26"/>
                <w:szCs w:val="22"/>
                <w:lang w:val="ru-RU" w:eastAsia="en-US" w:bidi="ar-SA"/>
              </w:rPr>
              <w:t>если заявка подписывается лицом, действующим на основании доверенности, предоставляется электронный образ (файл в формате *.</w:t>
            </w:r>
            <w:r>
              <w:rPr>
                <w:rFonts w:eastAsia="Calibri" w:cs=""/>
                <w:kern w:val="0"/>
                <w:sz w:val="26"/>
                <w:szCs w:val="22"/>
                <w:lang w:val="en-US" w:eastAsia="en-US" w:bidi="ar-SA"/>
              </w:rPr>
              <w:t>pdf</w:t>
            </w:r>
            <w:r>
              <w:rPr>
                <w:rFonts w:eastAsia="Calibri" w:cs=""/>
                <w:kern w:val="0"/>
                <w:sz w:val="26"/>
                <w:szCs w:val="22"/>
                <w:lang w:val="ru-RU" w:eastAsia="en-US" w:bidi="ar-SA"/>
              </w:rPr>
              <w:t>) оригинала соответствующей доверенности либо ее нотариально заверенной копии (с указанием правомочий на подписание заявки);</w:t>
            </w:r>
          </w:p>
          <w:p>
            <w:pPr>
              <w:pStyle w:val="Style29"/>
              <w:widowControl w:val="false"/>
              <w:numPr>
                <w:ilvl w:val="0"/>
                <w:numId w:val="8"/>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отношении аккредитации:</w:t>
            </w:r>
          </w:p>
          <w:p>
            <w:pPr>
              <w:pStyle w:val="Style29"/>
              <w:widowControl w:val="false"/>
              <w:numPr>
                <w:ilvl w:val="0"/>
                <w:numId w:val="13"/>
              </w:numPr>
              <w:suppressAutoHyphens w:val="true"/>
              <w:spacing w:before="60" w:after="60"/>
              <w:ind w:left="568" w:hanging="284"/>
              <w:rPr/>
            </w:pPr>
            <w:r>
              <w:rPr>
                <w:rFonts w:eastAsia="Calibri" w:cs=""/>
                <w:kern w:val="0"/>
                <w:sz w:val="26"/>
                <w:szCs w:val="22"/>
                <w:lang w:val="ru-RU" w:eastAsia="en-US" w:bidi="ar-SA"/>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отсутствии (с момента подачи им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декларация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предоставление Заявки на аккредитацию не требуется;</w:t>
            </w:r>
          </w:p>
          <w:p>
            <w:pPr>
              <w:pStyle w:val="Style29"/>
              <w:widowControl w:val="false"/>
              <w:numPr>
                <w:ilvl w:val="0"/>
                <w:numId w:val="13"/>
              </w:numPr>
              <w:suppressAutoHyphens w:val="true"/>
              <w:spacing w:before="60" w:after="60"/>
              <w:ind w:left="568" w:hanging="284"/>
              <w:rPr/>
            </w:pPr>
            <w:r>
              <w:rPr>
                <w:rFonts w:eastAsia="Calibri" w:cs=""/>
                <w:kern w:val="0"/>
                <w:sz w:val="26"/>
                <w:szCs w:val="22"/>
                <w:lang w:val="ru-RU" w:eastAsia="en-US" w:bidi="ar-SA"/>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наличии (с момента подачи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декларация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и обновленная Заявка на аккредитацию по установленной в Документации о закупке форме (</w:t>
            </w:r>
            <w:hyperlink w:anchor="Прил10_ЗаявкаНаАккредитацию">
              <w:r>
                <w:rPr>
                  <w:rStyle w:val="Style14"/>
                  <w:rFonts w:eastAsia="Calibri" w:cs=""/>
                  <w:kern w:val="0"/>
                  <w:sz w:val="26"/>
                  <w:szCs w:val="22"/>
                  <w:lang w:val="ru-RU" w:eastAsia="en-US" w:bidi="ar-SA"/>
                </w:rPr>
                <w:t>Приложение № 10</w:t>
              </w:r>
            </w:hyperlink>
            <w:r>
              <w:rPr>
                <w:rFonts w:eastAsia="Calibri" w:cs=""/>
                <w:kern w:val="0"/>
                <w:sz w:val="26"/>
                <w:szCs w:val="22"/>
                <w:lang w:val="ru-RU" w:eastAsia="en-US" w:bidi="ar-SA"/>
              </w:rPr>
              <w:t>);</w:t>
            </w:r>
          </w:p>
          <w:p>
            <w:pPr>
              <w:pStyle w:val="Style29"/>
              <w:widowControl w:val="false"/>
              <w:numPr>
                <w:ilvl w:val="0"/>
                <w:numId w:val="13"/>
              </w:numPr>
              <w:suppressAutoHyphens w:val="true"/>
              <w:spacing w:before="60" w:after="60"/>
              <w:ind w:left="568" w:hanging="284"/>
              <w:rPr/>
            </w:pPr>
            <w:r>
              <w:rPr>
                <w:rFonts w:eastAsia="Calibri" w:cs=""/>
                <w:kern w:val="0"/>
                <w:sz w:val="26"/>
                <w:szCs w:val="22"/>
                <w:lang w:val="ru-RU" w:eastAsia="en-US" w:bidi="ar-SA"/>
              </w:rPr>
              <w:t>при отсутствии у Участника на момент подачи заявки статуса «аккредитован» (при условии, что Участник ранее направил Заявку на 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 – декларация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предоставление Заявки на аккредитацию не требуется;</w:t>
            </w:r>
          </w:p>
          <w:p>
            <w:pPr>
              <w:pStyle w:val="Style29"/>
              <w:widowControl w:val="false"/>
              <w:numPr>
                <w:ilvl w:val="0"/>
                <w:numId w:val="13"/>
              </w:numPr>
              <w:suppressAutoHyphens w:val="true"/>
              <w:spacing w:before="60" w:after="60"/>
              <w:ind w:left="568" w:hanging="284"/>
              <w:rPr/>
            </w:pPr>
            <w:r>
              <w:rPr>
                <w:rFonts w:eastAsia="Calibri" w:cs=""/>
                <w:kern w:val="0"/>
                <w:sz w:val="26"/>
                <w:szCs w:val="22"/>
                <w:lang w:val="ru-RU" w:eastAsia="en-US" w:bidi="ar-SA"/>
              </w:rPr>
              <w:t>при отсутствии у Участника на момент подачи заявки статуса «аккредитован» (не проходил ранее процедуру аккредитации или наличия у Участника статуса «не аккредитован» (по результатам ранее пройденной процедуры аккредитации), а также для лиц, указанных в пункте 3.11 Положения об аккредитации (аккредитация не требуется), но которые ранее не направляли соответствующие сведения для включения записи в Реестр аккредитации – декларация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и Заявка на аккредитацию по установленной в Документации о закупке форме (</w:t>
            </w:r>
            <w:hyperlink w:anchor="Прил10_ЗаявкаНаАккредитацию">
              <w:r>
                <w:rPr>
                  <w:rStyle w:val="Style14"/>
                  <w:rFonts w:eastAsia="Calibri" w:cs=""/>
                  <w:kern w:val="0"/>
                  <w:sz w:val="26"/>
                  <w:szCs w:val="22"/>
                  <w:lang w:val="ru-RU" w:eastAsia="en-US" w:bidi="ar-SA"/>
                </w:rPr>
                <w:t>Приложение № 10</w:t>
              </w:r>
            </w:hyperlink>
            <w:r>
              <w:rPr>
                <w:rFonts w:eastAsia="Calibri" w:cs=""/>
                <w:kern w:val="0"/>
                <w:sz w:val="26"/>
                <w:szCs w:val="22"/>
                <w:lang w:val="ru-RU" w:eastAsia="en-US" w:bidi="ar-SA"/>
              </w:rPr>
              <w:t>).</w:t>
            </w:r>
          </w:p>
          <w:p>
            <w:pPr>
              <w:pStyle w:val="Style29"/>
              <w:widowControl w:val="false"/>
              <w:suppressAutoHyphens w:val="true"/>
              <w:spacing w:before="60" w:after="60"/>
              <w:ind w:left="284" w:hanging="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случае заинтересованности Участника в дополнительной оценке его финансового состояния, при условии отсутствия опубликованной в государственном информационном ресурсе бухгалтерской (финансовой) отчетности организаций (https://bo.nalog.ru), к Заявке на аккредитацию также прилагается электронная копия 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приеме или с приложением квитанции о приеме и (или) извещения о вводе сведений налоговым органом. Указанные документы не являются обязательными к подаче в рамках процедуры аккредитации и предоставляются по желанию Участника.</w:t>
            </w:r>
          </w:p>
        </w:tc>
      </w:tr>
      <w:tr>
        <w:trPr/>
        <w:tc>
          <w:tcPr>
            <w:tcW w:w="1128" w:type="dxa"/>
            <w:tcBorders/>
          </w:tcPr>
          <w:p>
            <w:pPr>
              <w:pStyle w:val="Style29"/>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5671"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Участник должен являться субъектом МСП, или физическим лицом, не являющимся индивидуальным предпринимателем и применяющим специальный налоговый режим «Налог на профессиональный доход»:</w:t>
            </w:r>
          </w:p>
        </w:tc>
        <w:tc>
          <w:tcPr>
            <w:tcW w:w="8327" w:type="dxa"/>
            <w:tcBorders/>
          </w:tcPr>
          <w:p>
            <w:pPr>
              <w:pStyle w:val="Style29"/>
              <w:widowControl w:val="false"/>
              <w:suppressAutoHyphens w:val="true"/>
              <w:spacing w:before="60" w:after="60"/>
              <w:rPr/>
            </w:pPr>
            <w:r>
              <w:rPr>
                <w:rFonts w:eastAsia="Calibri" w:cs=""/>
                <w:kern w:val="0"/>
                <w:sz w:val="26"/>
                <w:szCs w:val="22"/>
                <w:lang w:val="ru-RU" w:eastAsia="en-US" w:bidi="ar-SA"/>
              </w:rPr>
              <w:t>Декларация о соответствии Участника данному требованию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29"/>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tc>
      </w:tr>
      <w:tr>
        <w:trPr/>
        <w:tc>
          <w:tcPr>
            <w:tcW w:w="1128" w:type="dxa"/>
            <w:tcBorders/>
          </w:tcPr>
          <w:p>
            <w:pPr>
              <w:pStyle w:val="Style29"/>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88" w:name="_Ref139028406"/>
            <w:bookmarkStart w:id="289" w:name="_Ref139028406"/>
            <w:bookmarkEnd w:id="289"/>
          </w:p>
        </w:tc>
        <w:tc>
          <w:tcPr>
            <w:tcW w:w="5671"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Сведения об Участнике должны отсутствовать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w:t>
            </w:r>
            <w:r>
              <w:rPr>
                <w:rStyle w:val="FootnoteReference"/>
                <w:rFonts w:eastAsia="Calibri" w:cs=""/>
                <w:kern w:val="0"/>
                <w:sz w:val="26"/>
                <w:szCs w:val="22"/>
                <w:lang w:val="ru-RU" w:eastAsia="en-US" w:bidi="ar-SA"/>
              </w:rPr>
              <w:footnoteReference w:id="14"/>
            </w:r>
            <w:r>
              <w:rPr>
                <w:rFonts w:eastAsia="Calibri" w:cs=""/>
                <w:kern w:val="0"/>
                <w:sz w:val="26"/>
                <w:szCs w:val="22"/>
                <w:lang w:val="ru-RU" w:eastAsia="en-US" w:bidi="ar-SA"/>
              </w:rPr>
              <w:t>, а также Участник не должен являться подконтрольной организацией данных юридических лиц</w:t>
            </w:r>
            <w:r>
              <w:rPr>
                <w:rStyle w:val="FootnoteReference"/>
                <w:rFonts w:eastAsia="Calibri" w:cs=""/>
                <w:kern w:val="0"/>
                <w:sz w:val="26"/>
                <w:szCs w:val="22"/>
                <w:lang w:val="ru-RU" w:eastAsia="en-US" w:bidi="ar-SA"/>
              </w:rPr>
              <w:footnoteReference w:id="15"/>
            </w:r>
            <w:r>
              <w:rPr>
                <w:rFonts w:eastAsia="Calibri" w:cs=""/>
                <w:kern w:val="0"/>
                <w:sz w:val="26"/>
                <w:szCs w:val="22"/>
                <w:lang w:val="ru-RU" w:eastAsia="en-US" w:bidi="ar-SA"/>
              </w:rPr>
              <w:t>:</w:t>
            </w:r>
          </w:p>
        </w:tc>
        <w:tc>
          <w:tcPr>
            <w:tcW w:w="8327" w:type="dxa"/>
            <w:tcBorders/>
          </w:tcPr>
          <w:p>
            <w:pPr>
              <w:pStyle w:val="Style29"/>
              <w:widowControl w:val="false"/>
              <w:suppressAutoHyphens w:val="true"/>
              <w:spacing w:before="60" w:after="60"/>
              <w:rPr/>
            </w:pPr>
            <w:r>
              <w:rPr>
                <w:rFonts w:eastAsia="Calibri" w:cs=""/>
                <w:kern w:val="0"/>
                <w:sz w:val="26"/>
                <w:szCs w:val="22"/>
                <w:lang w:val="ru-RU" w:eastAsia="en-US" w:bidi="ar-SA"/>
              </w:rPr>
              <w:t>Декларация о соответствии Участника данному требованию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29"/>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и (или) перед заключением договора 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«О мерах по реализации Указа Президента Российской Федерации от 3 мая 2022 г. N 252».)</w:t>
            </w:r>
          </w:p>
        </w:tc>
      </w:tr>
      <w:tr>
        <w:trPr/>
        <w:tc>
          <w:tcPr>
            <w:tcW w:w="1128" w:type="dxa"/>
            <w:tcBorders/>
          </w:tcPr>
          <w:p>
            <w:pPr>
              <w:pStyle w:val="Style29"/>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90" w:name="_Ref186128496"/>
            <w:bookmarkStart w:id="291" w:name="_Ref186128496"/>
            <w:bookmarkEnd w:id="291"/>
          </w:p>
        </w:tc>
        <w:tc>
          <w:tcPr>
            <w:tcW w:w="5671"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Если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установлен режим запрета закупки иностранной продукции и предметом 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должен быть российским лицом:</w:t>
            </w:r>
          </w:p>
        </w:tc>
        <w:tc>
          <w:tcPr>
            <w:tcW w:w="8327" w:type="dxa"/>
            <w:tcBorders/>
          </w:tcPr>
          <w:p>
            <w:pPr>
              <w:pStyle w:val="Style29"/>
              <w:widowControl w:val="false"/>
              <w:suppressAutoHyphens w:val="true"/>
              <w:spacing w:before="60" w:after="60"/>
              <w:rPr/>
            </w:pPr>
            <w:r>
              <w:rPr>
                <w:rFonts w:eastAsia="Calibri" w:cs=""/>
                <w:kern w:val="0"/>
                <w:sz w:val="26"/>
                <w:szCs w:val="22"/>
                <w:lang w:val="ru-RU" w:eastAsia="en-US" w:bidi="ar-SA"/>
              </w:rPr>
              <w:t>Декларация о соответствии Участника данному требованию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29"/>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Организатор на основании результатов аккредитации проверяет на соответствие данному требованию.)</w:t>
            </w:r>
          </w:p>
        </w:tc>
      </w:tr>
      <w:tr>
        <w:trPr/>
        <w:tc>
          <w:tcPr>
            <w:tcW w:w="1128" w:type="dxa"/>
            <w:tcBorders/>
          </w:tcPr>
          <w:p>
            <w:pPr>
              <w:pStyle w:val="Style29"/>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92" w:name="_Ref186128503"/>
            <w:bookmarkStart w:id="293" w:name="_Ref186128503"/>
            <w:bookmarkEnd w:id="293"/>
          </w:p>
        </w:tc>
        <w:tc>
          <w:tcPr>
            <w:tcW w:w="5671"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Если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должен указать свою принадлежность – Участник является иностранным лицом или российским лицом:</w:t>
            </w:r>
          </w:p>
        </w:tc>
        <w:tc>
          <w:tcPr>
            <w:tcW w:w="8327" w:type="dxa"/>
            <w:tcBorders/>
          </w:tcPr>
          <w:p>
            <w:pPr>
              <w:pStyle w:val="Style29"/>
              <w:widowControl w:val="false"/>
              <w:suppressAutoHyphens w:val="true"/>
              <w:spacing w:before="60" w:after="60"/>
              <w:rPr/>
            </w:pPr>
            <w:r>
              <w:rPr>
                <w:rFonts w:eastAsia="Calibri" w:cs=""/>
                <w:kern w:val="0"/>
                <w:sz w:val="26"/>
                <w:szCs w:val="22"/>
                <w:lang w:val="ru-RU" w:eastAsia="en-US" w:bidi="ar-SA"/>
              </w:rPr>
              <w:t>Декларация о принадлежности Участника к иностранному лицу или российскому лицу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29"/>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Организатор на основании результатов аккредитации проверяет на соответствие данному требованию.)</w:t>
            </w:r>
          </w:p>
        </w:tc>
      </w:tr>
    </w:tbl>
    <w:p>
      <w:pPr>
        <w:pStyle w:val="Style24"/>
        <w:spacing w:before="360" w:after="120"/>
        <w:rPr/>
      </w:pPr>
      <w:bookmarkStart w:id="294" w:name="_Ref125709888"/>
      <w:bookmarkStart w:id="295" w:name="_Ref125361442"/>
      <w:bookmarkStart w:id="296" w:name="_Ref125361633"/>
      <w:bookmarkStart w:id="297" w:name="_Ref125361671"/>
      <w:bookmarkStart w:id="298" w:name="_Ref125361869"/>
      <w:bookmarkStart w:id="299" w:name="_Ref125361937"/>
      <w:bookmarkStart w:id="300" w:name="_Ref125365459"/>
      <w:bookmarkStart w:id="301" w:name="_Ref125367521"/>
      <w:bookmarkStart w:id="302" w:name="_Ref125368901"/>
      <w:bookmarkStart w:id="303" w:name="_Ref125368916"/>
      <w:bookmarkStart w:id="304" w:name="_Ref125367539"/>
      <w:bookmarkStart w:id="305" w:name="_Ref125368818"/>
      <w:bookmarkStart w:id="306" w:name="_Toc220501016"/>
      <w:bookmarkStart w:id="307" w:name="_Ref125709153"/>
      <w:bookmarkStart w:id="308" w:name="_Ref125709250"/>
      <w:bookmarkStart w:id="309" w:name="_Ref125709401"/>
      <w:bookmarkStart w:id="310" w:name="_Ref125370079"/>
      <w:bookmarkStart w:id="311" w:name="_Ref125369099"/>
      <w:r>
        <w:rPr/>
        <w:t>Специальные требования</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tbl>
      <w:tblPr>
        <w:tblStyle w:val="af4"/>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9"/>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29"/>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Участнику</w:t>
            </w:r>
          </w:p>
        </w:tc>
        <w:tc>
          <w:tcPr>
            <w:tcW w:w="8327" w:type="dxa"/>
            <w:tcBorders/>
          </w:tcPr>
          <w:p>
            <w:pPr>
              <w:pStyle w:val="Style29"/>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29"/>
              <w:widowControl w:val="false"/>
              <w:numPr>
                <w:ilvl w:val="0"/>
                <w:numId w:val="3"/>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5671" w:type="dxa"/>
            <w:tcBorders/>
          </w:tcPr>
          <w:p>
            <w:pPr>
              <w:pStyle w:val="Normal"/>
              <w:widowControl w:val="false"/>
              <w:suppressAutoHyphens w:val="true"/>
              <w:spacing w:before="0" w:after="60"/>
              <w:jc w:val="both"/>
              <w:rPr>
                <w:rFonts w:eastAsia="Times New Roman" w:cs="Times New Roman"/>
                <w:sz w:val="24"/>
                <w:szCs w:val="24"/>
                <w:highlight w:val="yellow"/>
                <w:lang w:eastAsia="ru-RU"/>
              </w:rPr>
            </w:pPr>
            <w:r>
              <w:rPr>
                <w:rFonts w:eastAsia="Times New Roman" w:cs="Times New Roman"/>
                <w:kern w:val="0"/>
                <w:sz w:val="26"/>
                <w:szCs w:val="26"/>
                <w:lang w:val="ru-RU" w:eastAsia="ru-RU" w:bidi="ar-SA"/>
              </w:rPr>
              <w:t>Требования не установлены.</w:t>
            </w:r>
          </w:p>
        </w:tc>
        <w:tc>
          <w:tcPr>
            <w:tcW w:w="8327" w:type="dxa"/>
            <w:tcBorders/>
          </w:tcPr>
          <w:p>
            <w:pPr>
              <w:pStyle w:val="Style29"/>
              <w:widowControl w:val="false"/>
              <w:suppressAutoHyphens w:val="true"/>
              <w:spacing w:before="60" w:after="60"/>
              <w:rPr>
                <w:highlight w:val="yellow"/>
              </w:rPr>
            </w:pPr>
            <w:r>
              <w:rPr>
                <w:rFonts w:eastAsia="Calibri" w:cs=""/>
                <w:kern w:val="0"/>
                <w:sz w:val="26"/>
                <w:szCs w:val="22"/>
                <w:lang w:val="ru-RU" w:eastAsia="en-US" w:bidi="ar-SA"/>
              </w:rPr>
              <w:t>Требования не установлены.</w:t>
            </w:r>
          </w:p>
        </w:tc>
      </w:tr>
    </w:tbl>
    <w:p>
      <w:pPr>
        <w:pStyle w:val="Style24"/>
        <w:spacing w:before="360" w:after="120"/>
        <w:rPr/>
      </w:pPr>
      <w:bookmarkStart w:id="312" w:name="_Toc220501017"/>
      <w:bookmarkStart w:id="313" w:name="_Ref125709256"/>
      <w:bookmarkStart w:id="314" w:name="_Ref125709541"/>
      <w:bookmarkStart w:id="315" w:name="_Ref125553242"/>
      <w:bookmarkStart w:id="316" w:name="_Ref125553296"/>
      <w:bookmarkStart w:id="317" w:name="_Ref125553475"/>
      <w:bookmarkStart w:id="318" w:name="_Ref125550353"/>
      <w:bookmarkStart w:id="319" w:name="_Ref125550270"/>
      <w:bookmarkStart w:id="320" w:name="_Ref125709895"/>
      <w:bookmarkStart w:id="321" w:name="_Ref125709154"/>
      <w:bookmarkStart w:id="322" w:name="_Ref125553681"/>
      <w:r>
        <w:rPr/>
        <w:t>Квалификационные требования</w:t>
      </w:r>
      <w:bookmarkEnd w:id="312"/>
      <w:bookmarkEnd w:id="313"/>
      <w:bookmarkEnd w:id="314"/>
      <w:bookmarkEnd w:id="315"/>
      <w:bookmarkEnd w:id="316"/>
      <w:bookmarkEnd w:id="317"/>
      <w:bookmarkEnd w:id="318"/>
      <w:bookmarkEnd w:id="319"/>
      <w:bookmarkEnd w:id="320"/>
      <w:bookmarkEnd w:id="321"/>
      <w:bookmarkEnd w:id="322"/>
    </w:p>
    <w:tbl>
      <w:tblPr>
        <w:tblStyle w:val="af4"/>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9"/>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29"/>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Участнику</w:t>
            </w:r>
          </w:p>
        </w:tc>
        <w:tc>
          <w:tcPr>
            <w:tcW w:w="8327" w:type="dxa"/>
            <w:tcBorders/>
          </w:tcPr>
          <w:p>
            <w:pPr>
              <w:pStyle w:val="Style29"/>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29"/>
              <w:widowControl w:val="false"/>
              <w:numPr>
                <w:ilvl w:val="0"/>
                <w:numId w:val="10"/>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5671"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Требования не установлены.</w:t>
            </w:r>
          </w:p>
        </w:tc>
        <w:tc>
          <w:tcPr>
            <w:tcW w:w="8327" w:type="dxa"/>
            <w:tcBorders/>
          </w:tcPr>
          <w:p>
            <w:pPr>
              <w:pStyle w:val="Style29"/>
              <w:widowControl w:val="false"/>
              <w:suppressAutoHyphens w:val="true"/>
              <w:spacing w:before="60" w:after="60"/>
              <w:rPr>
                <w:rFonts w:ascii="Times New Roman" w:hAnsi="Times New Roman"/>
                <w:kern w:val="0"/>
                <w:sz w:val="26"/>
                <w:lang w:val="ru-RU" w:bidi="ar-SA"/>
              </w:rPr>
            </w:pPr>
            <w:r>
              <w:rPr>
                <w:rFonts w:eastAsia="Times New Roman" w:cs="Times New Roman"/>
                <w:kern w:val="0"/>
                <w:sz w:val="26"/>
                <w:szCs w:val="26"/>
                <w:lang w:val="ru-RU" w:eastAsia="ru-RU" w:bidi="ar-SA"/>
              </w:rPr>
              <w:t>Требования не установлены.</w:t>
            </w:r>
          </w:p>
        </w:tc>
      </w:tr>
    </w:tbl>
    <w:p>
      <w:pPr>
        <w:pStyle w:val="Style24"/>
        <w:spacing w:before="360" w:after="120"/>
        <w:rPr/>
      </w:pPr>
      <w:bookmarkStart w:id="323" w:name="_Toc220501018"/>
      <w:bookmarkStart w:id="324" w:name="_Ref125552455"/>
      <w:bookmarkStart w:id="325" w:name="_Ref125553500"/>
      <w:bookmarkStart w:id="326" w:name="_Ref125553692"/>
      <w:bookmarkStart w:id="327" w:name="_Ref125553703"/>
      <w:bookmarkStart w:id="328" w:name="_Ref125709228"/>
      <w:r>
        <w:rPr/>
        <w:t>Дополнительные требования к Коллективным участникам</w:t>
      </w:r>
      <w:bookmarkEnd w:id="323"/>
      <w:bookmarkEnd w:id="324"/>
      <w:bookmarkEnd w:id="325"/>
      <w:bookmarkEnd w:id="326"/>
      <w:bookmarkEnd w:id="327"/>
      <w:bookmarkEnd w:id="328"/>
    </w:p>
    <w:tbl>
      <w:tblPr>
        <w:tblStyle w:val="af4"/>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9"/>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29"/>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Коллективному участнику</w:t>
            </w:r>
          </w:p>
        </w:tc>
        <w:tc>
          <w:tcPr>
            <w:tcW w:w="8327" w:type="dxa"/>
            <w:tcBorders/>
          </w:tcPr>
          <w:p>
            <w:pPr>
              <w:pStyle w:val="Style29"/>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 подтверждающим соответствие</w:t>
              <w:br/>
              <w:t>Коллективного участника установленным требованиям</w:t>
            </w:r>
          </w:p>
        </w:tc>
      </w:tr>
      <w:tr>
        <w:trPr/>
        <w:tc>
          <w:tcPr>
            <w:tcW w:w="1128" w:type="dxa"/>
            <w:tcBorders/>
          </w:tcPr>
          <w:p>
            <w:pPr>
              <w:pStyle w:val="Style29"/>
              <w:widowControl w:val="false"/>
              <w:numPr>
                <w:ilvl w:val="0"/>
                <w:numId w:val="4"/>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29" w:name="_Ref125370156"/>
            <w:bookmarkStart w:id="330" w:name="_Ref125370156"/>
            <w:bookmarkEnd w:id="330"/>
          </w:p>
        </w:tc>
        <w:tc>
          <w:tcPr>
            <w:tcW w:w="5671"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Члены Коллективного участника должны иметь между собой соглашение (или иной документ), соответствующее нормам ГК РФ:</w:t>
            </w:r>
          </w:p>
        </w:tc>
        <w:tc>
          <w:tcPr>
            <w:tcW w:w="8327"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Копия Соглашения между членами Коллективного участника, подготовленного в соответствии с требованиями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_Ref125366972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3.2.3</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1128" w:type="dxa"/>
            <w:tcBorders/>
          </w:tcPr>
          <w:p>
            <w:pPr>
              <w:pStyle w:val="Style29"/>
              <w:widowControl w:val="false"/>
              <w:numPr>
                <w:ilvl w:val="0"/>
                <w:numId w:val="4"/>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31" w:name="_Ref125553738"/>
            <w:bookmarkStart w:id="332" w:name="_Ref125553738"/>
            <w:bookmarkEnd w:id="332"/>
          </w:p>
        </w:tc>
        <w:tc>
          <w:tcPr>
            <w:tcW w:w="5671"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Заявка Коллективного участника дополнительно должна включать сведения о распределении объемов поставки продукции между членами Коллективного участника:</w:t>
            </w:r>
          </w:p>
        </w:tc>
        <w:tc>
          <w:tcPr>
            <w:tcW w:w="8327" w:type="dxa"/>
            <w:tcBorders/>
          </w:tcPr>
          <w:p>
            <w:pPr>
              <w:pStyle w:val="Style29"/>
              <w:widowControl w:val="false"/>
              <w:suppressAutoHyphens w:val="true"/>
              <w:spacing w:before="60" w:after="60"/>
              <w:rPr/>
            </w:pPr>
            <w:r>
              <w:rPr>
                <w:rFonts w:eastAsia="Calibri" w:cs=""/>
                <w:kern w:val="0"/>
                <w:sz w:val="26"/>
                <w:szCs w:val="22"/>
                <w:lang w:val="ru-RU" w:eastAsia="en-US" w:bidi="ar-SA"/>
              </w:rPr>
              <w:t>План распределения объемов поставки продукции (форма 11)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с указанием необходимой информации;</w:t>
            </w:r>
          </w:p>
        </w:tc>
      </w:tr>
      <w:tr>
        <w:trPr/>
        <w:tc>
          <w:tcPr>
            <w:tcW w:w="1128" w:type="dxa"/>
            <w:tcBorders/>
          </w:tcPr>
          <w:p>
            <w:pPr>
              <w:pStyle w:val="Style29"/>
              <w:widowControl w:val="false"/>
              <w:numPr>
                <w:ilvl w:val="0"/>
                <w:numId w:val="4"/>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33" w:name="_Ref125370162"/>
            <w:bookmarkStart w:id="334" w:name="_Ref125370162"/>
            <w:bookmarkEnd w:id="334"/>
          </w:p>
        </w:tc>
        <w:tc>
          <w:tcPr>
            <w:tcW w:w="5671" w:type="dxa"/>
            <w:tcBorders/>
          </w:tcPr>
          <w:p>
            <w:pPr>
              <w:pStyle w:val="Style29"/>
              <w:widowControl w:val="false"/>
              <w:suppressAutoHyphens w:val="true"/>
              <w:spacing w:before="60" w:after="60"/>
              <w:rPr/>
            </w:pPr>
            <w:r>
              <w:rPr>
                <w:rFonts w:eastAsia="Calibri" w:cs=""/>
                <w:kern w:val="0"/>
                <w:sz w:val="26"/>
                <w:szCs w:val="22"/>
                <w:lang w:val="ru-RU" w:eastAsia="en-US" w:bidi="ar-SA"/>
              </w:rPr>
              <w:t>Соответствие каждого члена Коллективного участника установленным требованиям (с учетом пунктов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_Ref125368791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_Ref134705077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3.2.7</w:t>
            </w:r>
            <w:r>
              <w:rPr>
                <w:sz w:val="26"/>
                <w:kern w:val="0"/>
                <w:szCs w:val="22"/>
                <w:rFonts w:eastAsia="Calibri" w:cs=""/>
                <w:lang w:val="ru-RU" w:eastAsia="en-US" w:bidi="ar-SA"/>
              </w:rPr>
              <w:fldChar w:fldCharType="end"/>
            </w:r>
            <w:r>
              <w:rPr>
                <w:rFonts w:eastAsia="Calibri" w:cs=""/>
                <w:kern w:val="0"/>
                <w:sz w:val="26"/>
                <w:szCs w:val="22"/>
                <w:lang w:val="ru-RU" w:eastAsia="en-US" w:bidi="ar-SA"/>
              </w:rPr>
              <w:t>), в том числе с учетом объема поставки продукции, который ему предполагается поручить в соответствии с Планом распределения объемов поставки продукции внутри (форма 11)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tc>
        <w:tc>
          <w:tcPr>
            <w:tcW w:w="8327"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Сведения и документы, аналогичные установленным в подразделах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t> –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_Ref125553242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в отношении каждого члена Коллективного участника, подтверждающие его соответствие данным требованиям.</w:t>
            </w:r>
          </w:p>
        </w:tc>
      </w:tr>
    </w:tbl>
    <w:p>
      <w:pPr>
        <w:pStyle w:val="Style24"/>
        <w:spacing w:before="360" w:after="120"/>
        <w:rPr/>
      </w:pPr>
      <w:bookmarkStart w:id="335" w:name="_Toc220501019"/>
      <w:bookmarkStart w:id="336" w:name="_Ref125709777"/>
      <w:bookmarkStart w:id="337" w:name="_Ref125370209"/>
      <w:bookmarkStart w:id="338" w:name="_Ref125370180"/>
      <w:bookmarkStart w:id="339" w:name="_Ref125370173"/>
      <w:bookmarkStart w:id="340" w:name="_Ref125369117"/>
      <w:bookmarkStart w:id="341" w:name="_Ref125362031"/>
      <w:bookmarkStart w:id="342" w:name="_Ref125361823"/>
      <w:bookmarkStart w:id="343" w:name="_Ref125709973"/>
      <w:r>
        <w:rPr/>
        <w:t>Дополнительные требования к Генеральным подрядчикам</w:t>
      </w:r>
      <w:bookmarkEnd w:id="335"/>
      <w:bookmarkEnd w:id="336"/>
      <w:bookmarkEnd w:id="337"/>
      <w:bookmarkEnd w:id="338"/>
      <w:bookmarkEnd w:id="339"/>
      <w:bookmarkEnd w:id="340"/>
      <w:bookmarkEnd w:id="341"/>
      <w:bookmarkEnd w:id="342"/>
      <w:bookmarkEnd w:id="343"/>
    </w:p>
    <w:tbl>
      <w:tblPr>
        <w:tblStyle w:val="af4"/>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9"/>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29"/>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Генеральному подрядчику</w:t>
            </w:r>
          </w:p>
        </w:tc>
        <w:tc>
          <w:tcPr>
            <w:tcW w:w="8327" w:type="dxa"/>
            <w:tcBorders/>
          </w:tcPr>
          <w:p>
            <w:pPr>
              <w:pStyle w:val="Style29"/>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 подтверждающим соответствие</w:t>
              <w:br/>
              <w:t>Генерального подрядчика установленным требованиям</w:t>
            </w:r>
          </w:p>
        </w:tc>
      </w:tr>
      <w:tr>
        <w:trPr/>
        <w:tc>
          <w:tcPr>
            <w:tcW w:w="1128" w:type="dxa"/>
            <w:tcBorders/>
          </w:tcPr>
          <w:p>
            <w:pPr>
              <w:pStyle w:val="Style29"/>
              <w:widowControl w:val="false"/>
              <w:numPr>
                <w:ilvl w:val="0"/>
                <w:numId w:val="5"/>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44" w:name="_Ref125370187"/>
            <w:bookmarkStart w:id="345" w:name="_Ref125370187"/>
            <w:bookmarkEnd w:id="345"/>
          </w:p>
        </w:tc>
        <w:tc>
          <w:tcPr>
            <w:tcW w:w="5671"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327" w:type="dxa"/>
            <w:tcBorders/>
          </w:tcPr>
          <w:p>
            <w:pPr>
              <w:pStyle w:val="Style29"/>
              <w:widowControl w:val="false"/>
              <w:suppressAutoHyphens w:val="true"/>
              <w:spacing w:before="60" w:after="60"/>
              <w:rPr/>
            </w:pPr>
            <w:r>
              <w:rPr>
                <w:rFonts w:eastAsia="Calibri" w:cs=""/>
                <w:kern w:val="0"/>
                <w:sz w:val="26"/>
                <w:szCs w:val="22"/>
                <w:lang w:val="ru-RU" w:eastAsia="en-US" w:bidi="ar-SA"/>
              </w:rPr>
              <w:t>План распределения объемов поставки продукции (форма 11)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с указанием необходимой информации;</w:t>
            </w:r>
          </w:p>
        </w:tc>
      </w:tr>
      <w:tr>
        <w:trPr/>
        <w:tc>
          <w:tcPr>
            <w:tcW w:w="1128" w:type="dxa"/>
            <w:tcBorders/>
          </w:tcPr>
          <w:p>
            <w:pPr>
              <w:pStyle w:val="Style29"/>
              <w:widowControl w:val="false"/>
              <w:numPr>
                <w:ilvl w:val="0"/>
                <w:numId w:val="5"/>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46" w:name="_Ref125370199"/>
            <w:bookmarkStart w:id="347" w:name="_Ref125370199"/>
            <w:bookmarkEnd w:id="347"/>
          </w:p>
        </w:tc>
        <w:tc>
          <w:tcPr>
            <w:tcW w:w="5671"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Генеральный подрядчик должен доказать, что каждый из привлекаемых им субподрядчиков:</w:t>
            </w:r>
          </w:p>
          <w:p>
            <w:pPr>
              <w:pStyle w:val="Style29"/>
              <w:widowControl w:val="false"/>
              <w:numPr>
                <w:ilvl w:val="0"/>
                <w:numId w:val="12"/>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осведомлен о привлечении его в качестве субподрядчика;</w:t>
            </w:r>
          </w:p>
          <w:p>
            <w:pPr>
              <w:pStyle w:val="Style29"/>
              <w:widowControl w:val="false"/>
              <w:numPr>
                <w:ilvl w:val="0"/>
                <w:numId w:val="12"/>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согласен с выделяемым ему перечнем, объемами, сроками и стоимостью поставки продукции:</w:t>
            </w:r>
          </w:p>
        </w:tc>
        <w:tc>
          <w:tcPr>
            <w:tcW w:w="8327"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Письмо от имени каждого привлекаемого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trPr/>
        <w:tc>
          <w:tcPr>
            <w:tcW w:w="1128" w:type="dxa"/>
            <w:tcBorders/>
          </w:tcPr>
          <w:p>
            <w:pPr>
              <w:pStyle w:val="Style29"/>
              <w:widowControl w:val="false"/>
              <w:numPr>
                <w:ilvl w:val="0"/>
                <w:numId w:val="5"/>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48" w:name="_Ref125370193"/>
            <w:bookmarkStart w:id="349" w:name="_Ref125370193"/>
            <w:bookmarkEnd w:id="349"/>
          </w:p>
        </w:tc>
        <w:tc>
          <w:tcPr>
            <w:tcW w:w="5671" w:type="dxa"/>
            <w:tcBorders/>
          </w:tcPr>
          <w:p>
            <w:pPr>
              <w:pStyle w:val="Style29"/>
              <w:widowControl w:val="false"/>
              <w:suppressAutoHyphens w:val="true"/>
              <w:spacing w:before="60" w:after="60"/>
              <w:rPr/>
            </w:pPr>
            <w:r>
              <w:rPr>
                <w:rFonts w:eastAsia="Calibri" w:cs=""/>
                <w:kern w:val="0"/>
                <w:sz w:val="26"/>
                <w:szCs w:val="22"/>
                <w:lang w:val="ru-RU" w:eastAsia="en-US" w:bidi="ar-SA"/>
              </w:rPr>
              <w:t>Соответствие каждого субподрядчика установленным требованиям (с учетом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_Ref125368863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r>
            <w:r>
              <w:rPr>
                <w:sz w:val="26"/>
                <w:kern w:val="0"/>
                <w:szCs w:val="22"/>
                <w:rFonts w:eastAsia="Calibri" w:cs=""/>
                <w:lang w:val="ru-RU" w:eastAsia="en-US" w:bidi="ar-SA"/>
              </w:rPr>
              <w:fldChar w:fldCharType="end"/>
            </w:r>
            <w:r>
              <w:rPr>
                <w:rFonts w:eastAsia="Calibri" w:cs=""/>
                <w:kern w:val="0"/>
                <w:sz w:val="26"/>
                <w:szCs w:val="22"/>
                <w:lang w:val="ru-RU" w:eastAsia="en-US" w:bidi="ar-SA"/>
              </w:rPr>
              <w:t>) в том числе с учетом объема поставки продукции, который ему предполагается поручить в соответствии с Планом распределения объемов (форма 11)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327"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Сведения и документы, аналогичные установленным в подразделах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t> –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_Ref125553242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в отношении каждого субподрядчика, подтверждающие его соответствие данным требованиям;</w:t>
            </w:r>
          </w:p>
        </w:tc>
      </w:tr>
      <w:tr>
        <w:trPr/>
        <w:tc>
          <w:tcPr>
            <w:tcW w:w="1128" w:type="dxa"/>
            <w:tcBorders/>
          </w:tcPr>
          <w:p>
            <w:pPr>
              <w:pStyle w:val="Style29"/>
              <w:widowControl w:val="false"/>
              <w:numPr>
                <w:ilvl w:val="0"/>
                <w:numId w:val="5"/>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50" w:name="_Ref125553847"/>
            <w:bookmarkStart w:id="351" w:name="_Ref125553847"/>
            <w:bookmarkEnd w:id="351"/>
          </w:p>
        </w:tc>
        <w:tc>
          <w:tcPr>
            <w:tcW w:w="5671"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Дополнительные требования не установлены.</w:t>
            </w:r>
          </w:p>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327"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Дополнительные требования не установлены.</w:t>
            </w:r>
          </w:p>
        </w:tc>
      </w:tr>
    </w:tbl>
    <w:p>
      <w:pPr>
        <w:sectPr>
          <w:headerReference w:type="default" r:id="rId20"/>
          <w:headerReference w:type="first" r:id="rId21"/>
          <w:footerReference w:type="default" r:id="rId22"/>
          <w:footerReference w:type="first" r:id="rId23"/>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Pr>
    </w:p>
    <w:p>
      <w:pPr>
        <w:pStyle w:val="Style23"/>
        <w:rPr/>
      </w:pPr>
      <w:bookmarkStart w:id="352" w:name="_Toc220501020"/>
      <w:bookmarkStart w:id="353" w:name="Прил04_ФормыЗаявки"/>
      <w:bookmarkEnd w:id="353"/>
      <w:r>
        <w:rPr/>
        <w:t>Приложение № 4 – Образцы форм документов, включаемых в состав заявки</w:t>
      </w:r>
      <w:bookmarkEnd w:id="352"/>
    </w:p>
    <w:p>
      <w:pPr>
        <w:pStyle w:val="Style24"/>
        <w:rPr/>
      </w:pPr>
      <w:bookmarkStart w:id="354" w:name="_Toc220501021"/>
      <w:r>
        <w:rPr/>
        <w:t>Пояснения к Образцам форм документов, включаемых в состав заявки</w:t>
      </w:r>
      <w:bookmarkEnd w:id="354"/>
    </w:p>
    <w:p>
      <w:pPr>
        <w:pStyle w:val="Style25"/>
        <w:rPr/>
      </w:pPr>
      <w:r>
        <w:rPr/>
        <w:t>Образцы форм документов, включаемых в состав заявки (с инструкциями по их оформлению), приведены в отдельном файле (предоставляются отдельным документом в составе Документации о закупке), являющимся Приложением № 4 к Документации о закупке.</w:t>
      </w:r>
    </w:p>
    <w:p>
      <w:pPr>
        <w:pStyle w:val="Style23"/>
        <w:rPr/>
      </w:pPr>
      <w:bookmarkStart w:id="355" w:name="_Toc220501022"/>
      <w:bookmarkStart w:id="356" w:name="Прил05_ФормыПобедителя"/>
      <w:bookmarkEnd w:id="356"/>
      <w:r>
        <w:rPr/>
        <w:t>Приложение № 5 – Образцы форм документов, предоставляемых Победителем</w:t>
      </w:r>
      <w:bookmarkEnd w:id="355"/>
    </w:p>
    <w:p>
      <w:pPr>
        <w:pStyle w:val="Style24"/>
        <w:rPr/>
      </w:pPr>
      <w:bookmarkStart w:id="357" w:name="_Toc220501023"/>
      <w:r>
        <w:rPr/>
        <w:t>Пояснения к Образцам форм документов, предоставляемых Победителем</w:t>
      </w:r>
      <w:bookmarkEnd w:id="357"/>
    </w:p>
    <w:p>
      <w:pPr>
        <w:pStyle w:val="Style25"/>
        <w:rPr/>
      </w:pPr>
      <w:r>
        <w:rPr/>
        <w:t>Образцы форм документов, предоставляемых Победителем (или Единственным участником, в случае признания закупки несостоявшейся и принятия решения о заключении договора с ее Единственным участником), а также дополнительные пояснения по их предоставлению и инструкции по их оформлению, приведены в подразделах </w:t>
      </w:r>
      <w:r>
        <w:rPr/>
        <w:fldChar w:fldCharType="begin"/>
      </w:r>
      <w:r>
        <w:rPr/>
        <w:instrText xml:space="preserve"> REF _Ref130395470 \r \h </w:instrText>
      </w:r>
      <w:r>
        <w:rPr/>
        <w:fldChar w:fldCharType="separate"/>
      </w:r>
      <w:r>
        <w:rPr/>
        <w:t>10.2</w:t>
      </w:r>
      <w:r>
        <w:rPr/>
        <w:fldChar w:fldCharType="end"/>
      </w:r>
      <w:r>
        <w:rPr/>
        <w:t xml:space="preserve">, </w:t>
      </w:r>
      <w:r>
        <w:rPr/>
        <w:fldChar w:fldCharType="begin"/>
      </w:r>
      <w:r>
        <w:rPr/>
        <w:instrText xml:space="preserve"> REF _Ref130395475 \r \h </w:instrText>
      </w:r>
      <w:r>
        <w:rPr/>
        <w:fldChar w:fldCharType="separate"/>
      </w:r>
      <w:r>
        <w:rPr/>
        <w:t>10.3</w:t>
      </w:r>
      <w:r>
        <w:rPr/>
        <w:fldChar w:fldCharType="end"/>
      </w:r>
      <w:r>
        <w:rPr/>
        <w:t>.</w:t>
      </w:r>
    </w:p>
    <w:p>
      <w:pPr>
        <w:pStyle w:val="Style24"/>
        <w:rPr/>
      </w:pPr>
      <w:bookmarkStart w:id="358" w:name="_Toc220501024"/>
      <w:bookmarkStart w:id="359" w:name="_Ref130395470"/>
      <w:r>
        <w:rPr/>
        <w:t>Форма справки «Сведения о цепочке собственников, включая бенефициаров (в том числе конечных)»</w:t>
      </w:r>
      <w:bookmarkEnd w:id="358"/>
      <w:bookmarkEnd w:id="359"/>
    </w:p>
    <w:p>
      <w:pPr>
        <w:pStyle w:val="Style25"/>
        <w:rPr/>
      </w:pPr>
      <w:r>
        <w:rPr/>
        <w:t>Справка «Сведения о цепочке собственников, включая бенефициаров (в том числе конечных)» предоставляется Победителем закупки (поставщиком).</w:t>
      </w:r>
    </w:p>
    <w:p>
      <w:pPr>
        <w:pStyle w:val="Style25"/>
        <w:rPr/>
      </w:pPr>
      <w:r>
        <w:rPr/>
        <w:t xml:space="preserve">Форма справки «Сведения о цепочке собственников, включая бенефициаров (в том числе конечных)» </w:t>
      </w:r>
      <w:r>
        <w:rPr>
          <w:lang w:val="en-US"/>
        </w:rPr>
        <w:t>c</w:t>
      </w:r>
      <w:r>
        <w:rPr/>
        <w:t xml:space="preserve"> приложением 1 «Перечень подтверждающих документов» и приложением 2 «Согласие на обработку и передачу персональных и иных охраняемых законом данных» приведена в отдельном файле в формате </w:t>
      </w:r>
      <w:r>
        <w:rPr>
          <w:lang w:val="en-US"/>
        </w:rPr>
        <w:t>Microsoft</w:t>
      </w:r>
      <w:r>
        <w:rPr/>
        <w:t xml:space="preserve"> </w:t>
      </w:r>
      <w:r>
        <w:rPr>
          <w:lang w:val="en-US"/>
        </w:rPr>
        <w:t>Word</w:t>
      </w:r>
      <w:r>
        <w:rPr/>
        <w:t>:</w:t>
      </w:r>
      <w:bookmarkStart w:id="360" w:name="_MON_1741074142"/>
    </w:p>
    <w:p>
      <w:pPr>
        <w:pStyle w:val="Style29"/>
        <w:jc w:val="center"/>
        <w:rPr/>
      </w:pPr>
      <w:bookmarkEnd w:id="360"/>
      <w:r>
        <w:rPr/>
        <w:object>
          <v:shapetype id="_x0000_tole_rId24" coordsize="21600,21600" o:spt="ole_rId24"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4" type="_x0000_tole_rId24" style="width:77.6pt;height:50.5pt;mso-wrap-distance-right:0pt" filled="f" o:ole="">
            <v:imagedata r:id="rId25" o:title=""/>
          </v:shape>
          <o:OLEObject Type="Embed" ProgID="Word.Document.12" ShapeID="ole_rId24" DrawAspect="Icon" ObjectID="_2028907137" r:id="rId24"/>
        </w:object>
      </w:r>
    </w:p>
    <w:p>
      <w:pPr>
        <w:pStyle w:val="Style24"/>
        <w:rPr/>
      </w:pPr>
      <w:bookmarkStart w:id="361" w:name="_Ref130395475"/>
      <w:bookmarkStart w:id="362" w:name="_Toc220501025"/>
      <w:r>
        <w:rPr/>
        <w:t>Форма «Заверение об обстоятельствах»</w:t>
      </w:r>
      <w:bookmarkEnd w:id="361"/>
      <w:bookmarkEnd w:id="362"/>
    </w:p>
    <w:p>
      <w:pPr>
        <w:pStyle w:val="Style25"/>
        <w:rPr/>
      </w:pPr>
      <w:r>
        <w:rPr/>
        <w:t>Форма Заверения об обстоятельствах предоставляется Победителем закупки (поставщиком) только при заключении договоров стоимостью свыше 100 000</w:t>
      </w:r>
      <w:r>
        <w:rPr>
          <w:lang w:val="en-US"/>
        </w:rPr>
        <w:t> </w:t>
      </w:r>
      <w:r>
        <w:rPr/>
        <w:t>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w:t>
      </w:r>
      <w:r>
        <w:rPr/>
        <w:t>(трех) рабочих дней с даты официального размещения Организатором итогового протокола по результатам закупки.</w:t>
      </w:r>
    </w:p>
    <w:p>
      <w:pPr>
        <w:pStyle w:val="Style25"/>
        <w:rPr/>
      </w:pPr>
      <w:r>
        <w:rPr/>
        <w:t>Победитель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уставом, внутренними документами и отдельными решениями органов управления Поставщика, для последующего заключения Договора по предмету настоящей закупки.</w:t>
      </w:r>
    </w:p>
    <w:p>
      <w:pPr>
        <w:pStyle w:val="Style25"/>
        <w:rPr/>
      </w:pPr>
      <w:r>
        <w:rPr/>
        <w:t>Заверение об обстоятельствах следует оформить на официальном бланке Победителя закупки (поставщика) (с указанием даты и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p>
    <w:p>
      <w:pPr>
        <w:pStyle w:val="Style25"/>
        <w:keepNext w:val="true"/>
        <w:rPr/>
      </w:pPr>
      <w:r>
        <w:rPr/>
        <w:t xml:space="preserve">Форма «Заверение об обстоятельствах» приведена в отдельном файле в формате </w:t>
      </w:r>
      <w:r>
        <w:rPr>
          <w:lang w:val="en-US"/>
        </w:rPr>
        <w:t>Microsoft</w:t>
      </w:r>
      <w:r>
        <w:rPr/>
        <w:t xml:space="preserve"> </w:t>
      </w:r>
      <w:r>
        <w:rPr>
          <w:lang w:val="en-US"/>
        </w:rPr>
        <w:t>Word</w:t>
      </w:r>
      <w:r>
        <w:rPr/>
        <w:t>:</w:t>
      </w:r>
      <w:bookmarkStart w:id="363" w:name="_MON_1741074184"/>
    </w:p>
    <w:p>
      <w:pPr>
        <w:pStyle w:val="Style29"/>
        <w:spacing w:before="120" w:after="120"/>
        <w:jc w:val="center"/>
        <w:rPr/>
      </w:pPr>
      <w:bookmarkEnd w:id="363"/>
      <w:r>
        <w:rPr/>
        <w:object>
          <v:shapetype id="_x0000_tole_rId26" coordsize="21600,21600" o:spt="ole_rId26"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6" type="_x0000_tole_rId26" style="width:77.6pt;height:50.5pt;mso-wrap-distance-right:0pt;mso-wrap-distance-bottom:6pt" filled="f" o:ole="">
            <v:imagedata r:id="rId27" o:title=""/>
          </v:shape>
          <o:OLEObject Type="Embed" ProgID="Word.Document.12" ShapeID="ole_rId26" DrawAspect="Icon" ObjectID="_1337016253" r:id="rId26"/>
        </w:object>
      </w:r>
    </w:p>
    <w:p>
      <w:pPr>
        <w:pStyle w:val="Style23"/>
        <w:rPr/>
      </w:pPr>
      <w:bookmarkStart w:id="364" w:name="_Toc220501026"/>
      <w:bookmarkStart w:id="365" w:name="_Ref125362865"/>
      <w:bookmarkStart w:id="366" w:name="_Ref125362900"/>
      <w:bookmarkStart w:id="367" w:name="Прил06_СоставЗаявки"/>
      <w:bookmarkEnd w:id="367"/>
      <w:r>
        <w:rPr/>
        <w:t>Приложение № 6 – Состав заявки</w:t>
      </w:r>
      <w:bookmarkEnd w:id="364"/>
      <w:bookmarkEnd w:id="365"/>
      <w:bookmarkEnd w:id="366"/>
    </w:p>
    <w:p>
      <w:pPr>
        <w:pStyle w:val="Style24"/>
        <w:rPr/>
      </w:pPr>
      <w:bookmarkStart w:id="368" w:name="_Toc220501027"/>
      <w:r>
        <w:rPr/>
        <w:t>Состав заявки</w:t>
      </w:r>
      <w:bookmarkEnd w:id="368"/>
    </w:p>
    <w:p>
      <w:pPr>
        <w:pStyle w:val="Style25"/>
        <w:spacing w:before="120" w:after="120"/>
        <w:rPr/>
      </w:pPr>
      <w:r>
        <w:rPr/>
        <w:t xml:space="preserve">Заявка на участие в закупке должна содержать следующий комплект документов (образцы форм документов, включаемых в состав заявки (с инструкциями по их оформлению), приведены в </w:t>
      </w:r>
      <w:hyperlink w:anchor="Прил04_ФормыЗаявки">
        <w:r>
          <w:rPr>
            <w:rStyle w:val="Style14"/>
          </w:rPr>
          <w:t>Приложении № 4</w:t>
        </w:r>
      </w:hyperlink>
      <w:r>
        <w:rPr/>
        <w:t>):</w:t>
      </w:r>
    </w:p>
    <w:tbl>
      <w:tblPr>
        <w:tblStyle w:val="af4"/>
        <w:tblW w:w="8783" w:type="dxa"/>
        <w:jc w:val="left"/>
        <w:tblInd w:w="1129" w:type="dxa"/>
        <w:tblLayout w:type="fixed"/>
        <w:tblCellMar>
          <w:top w:w="0" w:type="dxa"/>
          <w:left w:w="57" w:type="dxa"/>
          <w:bottom w:w="0" w:type="dxa"/>
          <w:right w:w="57" w:type="dxa"/>
        </w:tblCellMar>
        <w:tblLook w:val="04a0" w:noHBand="0" w:noVBand="1" w:firstColumn="1" w:lastRow="0" w:lastColumn="0" w:firstRow="1"/>
      </w:tblPr>
      <w:tblGrid>
        <w:gridCol w:w="707"/>
        <w:gridCol w:w="8075"/>
      </w:tblGrid>
      <w:tr>
        <w:trPr>
          <w:cnfStyle w:val="100000000000" w:firstRow="1" w:lastRow="0" w:firstColumn="0" w:lastColumn="0" w:oddVBand="0" w:evenVBand="0" w:oddHBand="0" w:evenHBand="0" w:firstRowFirstColumn="0" w:firstRowLastColumn="0" w:lastRowFirstColumn="0" w:lastRowLastColumn="0"/>
        </w:trPr>
        <w:tc>
          <w:tcPr>
            <w:tcW w:w="707" w:type="dxa"/>
            <w:tcBorders/>
          </w:tcPr>
          <w:p>
            <w:pPr>
              <w:pStyle w:val="Style29"/>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8075" w:type="dxa"/>
            <w:tcBorders/>
          </w:tcPr>
          <w:p>
            <w:pPr>
              <w:pStyle w:val="Style29"/>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 документа</w:t>
            </w:r>
          </w:p>
        </w:tc>
      </w:tr>
      <w:tr>
        <w:trPr/>
        <w:tc>
          <w:tcPr>
            <w:tcW w:w="707" w:type="dxa"/>
            <w:tcBorders/>
          </w:tcPr>
          <w:p>
            <w:pPr>
              <w:pStyle w:val="Style29"/>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29"/>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Письмо о подаче оферты (форма 2);</w:t>
            </w:r>
          </w:p>
        </w:tc>
      </w:tr>
      <w:tr>
        <w:trPr/>
        <w:tc>
          <w:tcPr>
            <w:tcW w:w="707" w:type="dxa"/>
            <w:tcBorders/>
          </w:tcPr>
          <w:p>
            <w:pPr>
              <w:pStyle w:val="Style29"/>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Копия банковской гарантии – предоставляется при необходимости и в случае отсутствия внесенных Участником денежных средств на индивидуальный счет, открытый Участнику Оператором ЭП в соответствии с Регламентом ЭП;</w:t>
            </w:r>
          </w:p>
        </w:tc>
      </w:tr>
      <w:tr>
        <w:trPr/>
        <w:tc>
          <w:tcPr>
            <w:tcW w:w="707" w:type="dxa"/>
            <w:tcBorders/>
          </w:tcPr>
          <w:p>
            <w:pPr>
              <w:pStyle w:val="Style29"/>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9"/>
              <w:widowControl w:val="false"/>
              <w:suppressAutoHyphens w:val="true"/>
              <w:spacing w:before="60" w:after="60"/>
              <w:rPr/>
            </w:pPr>
            <w:r>
              <w:rPr>
                <w:rFonts w:eastAsia="Calibri" w:cs=""/>
                <w:kern w:val="0"/>
                <w:sz w:val="26"/>
                <w:szCs w:val="22"/>
                <w:lang w:val="ru-RU" w:eastAsia="en-US" w:bidi="ar-SA"/>
              </w:rPr>
              <w:t xml:space="preserve">Коммерческое предложение (включая Структуру НМЦ) (форма 3); также дополнительно предоставляется подтверждающая документация, составленная в соответствии с </w:t>
            </w:r>
            <w:hyperlink w:anchor="Прил01_ТехТребования">
              <w:r>
                <w:rPr>
                  <w:rStyle w:val="Style14"/>
                  <w:rFonts w:eastAsia="Calibri" w:cs=""/>
                  <w:kern w:val="0"/>
                  <w:sz w:val="26"/>
                  <w:szCs w:val="22"/>
                  <w:lang w:val="ru-RU" w:eastAsia="en-US" w:bidi="ar-SA"/>
                </w:rPr>
                <w:t>Техническими требованиями (Приложение № 1)</w:t>
              </w:r>
            </w:hyperlink>
            <w:r>
              <w:rPr>
                <w:rFonts w:eastAsia="Calibri" w:cs=""/>
                <w:kern w:val="0"/>
                <w:sz w:val="26"/>
                <w:szCs w:val="22"/>
                <w:lang w:val="ru-RU" w:eastAsia="en-US" w:bidi="ar-SA"/>
              </w:rP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p>
        </w:tc>
      </w:tr>
      <w:tr>
        <w:trPr/>
        <w:tc>
          <w:tcPr>
            <w:tcW w:w="707" w:type="dxa"/>
            <w:tcBorders/>
          </w:tcPr>
          <w:p>
            <w:pPr>
              <w:pStyle w:val="Style29"/>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Техническое предложение (форма 4);</w:t>
            </w:r>
          </w:p>
        </w:tc>
      </w:tr>
      <w:tr>
        <w:trPr/>
        <w:tc>
          <w:tcPr>
            <w:tcW w:w="707" w:type="dxa"/>
            <w:tcBorders/>
          </w:tcPr>
          <w:p>
            <w:pPr>
              <w:pStyle w:val="Style29"/>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Календарный график (форма 5);</w:t>
            </w:r>
          </w:p>
        </w:tc>
      </w:tr>
      <w:tr>
        <w:trPr/>
        <w:tc>
          <w:tcPr>
            <w:tcW w:w="707" w:type="dxa"/>
            <w:tcBorders/>
          </w:tcPr>
          <w:p>
            <w:pPr>
              <w:pStyle w:val="Style29"/>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Анкета Участника (форма 6);</w:t>
            </w:r>
          </w:p>
        </w:tc>
      </w:tr>
      <w:tr>
        <w:trPr/>
        <w:tc>
          <w:tcPr>
            <w:tcW w:w="707" w:type="dxa"/>
            <w:tcBorders/>
          </w:tcPr>
          <w:p>
            <w:pPr>
              <w:pStyle w:val="Style29"/>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69" w:name="_Ref130389408"/>
            <w:bookmarkStart w:id="370" w:name="_Ref130389408"/>
            <w:bookmarkEnd w:id="370"/>
          </w:p>
        </w:tc>
        <w:tc>
          <w:tcPr>
            <w:tcW w:w="8075" w:type="dxa"/>
            <w:tcBorders/>
          </w:tcPr>
          <w:p>
            <w:pPr>
              <w:pStyle w:val="Style29"/>
              <w:widowControl w:val="false"/>
              <w:suppressAutoHyphens w:val="true"/>
              <w:spacing w:before="60" w:after="60"/>
              <w:rPr/>
            </w:pPr>
            <w:r>
              <w:rPr>
                <w:rFonts w:eastAsia="Calibri" w:cs=""/>
                <w:kern w:val="0"/>
                <w:sz w:val="26"/>
                <w:szCs w:val="22"/>
                <w:lang w:val="ru-RU" w:eastAsia="en-US" w:bidi="ar-SA"/>
              </w:rPr>
              <w:t>Справка об опыте Участника (форма 7), с необходимыми приложениями к ней, – предоставляется, если установлено соответствующее квалификационное требование к опыту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xml:space="preserve">) и (или) если в </w:t>
            </w:r>
            <w:hyperlink w:anchor="Прил08_ПорядокОценки">
              <w:r>
                <w:rPr>
                  <w:rStyle w:val="Style14"/>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опыта;</w:t>
            </w:r>
          </w:p>
        </w:tc>
      </w:tr>
      <w:tr>
        <w:trPr/>
        <w:tc>
          <w:tcPr>
            <w:tcW w:w="707" w:type="dxa"/>
            <w:tcBorders/>
          </w:tcPr>
          <w:p>
            <w:pPr>
              <w:pStyle w:val="Style29"/>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71" w:name="_Ref130389413"/>
            <w:bookmarkStart w:id="372" w:name="_Ref130389413"/>
            <w:bookmarkEnd w:id="372"/>
          </w:p>
        </w:tc>
        <w:tc>
          <w:tcPr>
            <w:tcW w:w="8075" w:type="dxa"/>
            <w:tcBorders/>
          </w:tcPr>
          <w:p>
            <w:pPr>
              <w:pStyle w:val="Style29"/>
              <w:widowControl w:val="false"/>
              <w:suppressAutoHyphens w:val="true"/>
              <w:spacing w:before="60" w:after="60"/>
              <w:rPr/>
            </w:pPr>
            <w:r>
              <w:rPr>
                <w:rFonts w:eastAsia="Calibri" w:cs=""/>
                <w:kern w:val="0"/>
                <w:sz w:val="26"/>
                <w:szCs w:val="22"/>
                <w:lang w:val="ru-RU" w:eastAsia="en-US" w:bidi="ar-SA"/>
              </w:rPr>
              <w:t>Справка о материально-технических ресурсах (форма 8), с необходимыми приложениями к ней – предоставляется, если установлено соответствующее квалификационное требование к наличию (привлечению) материально-технических ресурсов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xml:space="preserve">) и (или) если в </w:t>
            </w:r>
            <w:hyperlink w:anchor="Прил08_ПорядокОценки">
              <w:r>
                <w:rPr>
                  <w:rStyle w:val="Style14"/>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наличия (привлечения) материально-технических ресурсов;</w:t>
            </w:r>
          </w:p>
        </w:tc>
      </w:tr>
      <w:tr>
        <w:trPr/>
        <w:tc>
          <w:tcPr>
            <w:tcW w:w="707" w:type="dxa"/>
            <w:tcBorders/>
          </w:tcPr>
          <w:p>
            <w:pPr>
              <w:pStyle w:val="Style29"/>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73" w:name="_Ref130389419"/>
            <w:bookmarkStart w:id="374" w:name="_Ref130389419"/>
            <w:bookmarkEnd w:id="374"/>
          </w:p>
        </w:tc>
        <w:tc>
          <w:tcPr>
            <w:tcW w:w="8075" w:type="dxa"/>
            <w:tcBorders/>
          </w:tcPr>
          <w:p>
            <w:pPr>
              <w:pStyle w:val="Style29"/>
              <w:widowControl w:val="false"/>
              <w:suppressAutoHyphens w:val="true"/>
              <w:spacing w:before="60" w:after="60"/>
              <w:rPr/>
            </w:pPr>
            <w:r>
              <w:rPr>
                <w:rFonts w:eastAsia="Calibri" w:cs=""/>
                <w:kern w:val="0"/>
                <w:sz w:val="26"/>
                <w:szCs w:val="22"/>
                <w:lang w:val="ru-RU" w:eastAsia="en-US" w:bidi="ar-SA"/>
              </w:rPr>
              <w:t>Справка о кадровых ресурсах (форма 9), с необходимыми приложениями к ней – предоставляется, если установлено соответствующее квалификационное требование к наличию (привлечения) кадровых ресурсов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xml:space="preserve">) и (или) если в </w:t>
            </w:r>
            <w:hyperlink w:anchor="Прил08_ПорядокОценки">
              <w:r>
                <w:rPr>
                  <w:rStyle w:val="Style14"/>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наличия (привлечения) кадровых ресурсов;</w:t>
            </w:r>
          </w:p>
        </w:tc>
      </w:tr>
      <w:tr>
        <w:trPr/>
        <w:tc>
          <w:tcPr>
            <w:tcW w:w="707" w:type="dxa"/>
            <w:tcBorders/>
          </w:tcPr>
          <w:p>
            <w:pPr>
              <w:pStyle w:val="Style29"/>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9"/>
              <w:widowControl w:val="false"/>
              <w:suppressAutoHyphens w:val="true"/>
              <w:spacing w:before="60" w:after="60"/>
              <w:rPr/>
            </w:pPr>
            <w:r>
              <w:rPr>
                <w:rFonts w:eastAsia="Calibri" w:cs=""/>
                <w:kern w:val="0"/>
                <w:sz w:val="26"/>
                <w:szCs w:val="22"/>
                <w:lang w:val="ru-RU" w:eastAsia="en-US" w:bidi="ar-SA"/>
              </w:rPr>
              <w:t xml:space="preserve">Справка об аффилированности Участника с изготовителем (производителем) предлагаемого товара (форма 10) – предоставляется, если Участник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 тому или иному критерию) и если в </w:t>
            </w:r>
            <w:hyperlink w:anchor="Прил08_ПорядокОценки">
              <w:r>
                <w:rPr>
                  <w:rStyle w:val="Style14"/>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наличия аффилированности;</w:t>
            </w:r>
          </w:p>
        </w:tc>
      </w:tr>
      <w:tr>
        <w:trPr/>
        <w:tc>
          <w:tcPr>
            <w:tcW w:w="707" w:type="dxa"/>
            <w:tcBorders/>
          </w:tcPr>
          <w:p>
            <w:pPr>
              <w:pStyle w:val="Style29"/>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Normal"/>
              <w:widowControl w:val="false"/>
              <w:suppressAutoHyphens w:val="true"/>
              <w:spacing w:before="120" w:after="0"/>
              <w:jc w:val="both"/>
              <w:rPr/>
            </w:pPr>
            <w:r>
              <w:rPr>
                <w:rFonts w:eastAsia="Calibri" w:cs=""/>
                <w:kern w:val="0"/>
                <w:sz w:val="26"/>
                <w:szCs w:val="22"/>
                <w:lang w:val="ru-RU" w:eastAsia="en-US" w:bidi="ar-SA"/>
              </w:rPr>
              <w:t>Документы, подтверждающие соответствие Участника обязательным требованиям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а также необходимые документы для прохождения (при необходимости) процедуры аккредитации – требования к подтверждающим документам приведены в указанном подразделе;</w:t>
            </w:r>
          </w:p>
        </w:tc>
      </w:tr>
      <w:tr>
        <w:trPr/>
        <w:tc>
          <w:tcPr>
            <w:tcW w:w="707" w:type="dxa"/>
            <w:tcBorders/>
          </w:tcPr>
          <w:p>
            <w:pPr>
              <w:pStyle w:val="Style29"/>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9"/>
              <w:widowControl w:val="false"/>
              <w:suppressAutoHyphens w:val="true"/>
              <w:spacing w:before="60" w:after="60"/>
              <w:rPr/>
            </w:pPr>
            <w:r>
              <w:rPr>
                <w:rFonts w:eastAsia="Calibri" w:cs=""/>
                <w:kern w:val="0"/>
                <w:sz w:val="26"/>
                <w:szCs w:val="22"/>
                <w:lang w:val="ru-RU" w:eastAsia="en-US" w:bidi="ar-SA"/>
              </w:rPr>
              <w:t>Документы, подтверждающие соответствие Участника специальным требованиям – предоставляются, если соответствующие требования установлены в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w:t>
            </w:r>
          </w:p>
        </w:tc>
      </w:tr>
      <w:tr>
        <w:trPr/>
        <w:tc>
          <w:tcPr>
            <w:tcW w:w="707" w:type="dxa"/>
            <w:tcBorders/>
          </w:tcPr>
          <w:p>
            <w:pPr>
              <w:pStyle w:val="Style29"/>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9"/>
              <w:widowControl w:val="false"/>
              <w:suppressAutoHyphens w:val="true"/>
              <w:spacing w:before="60" w:after="60"/>
              <w:rPr/>
            </w:pPr>
            <w:r>
              <w:rPr>
                <w:rFonts w:eastAsia="Calibri" w:cs=""/>
                <w:kern w:val="0"/>
                <w:sz w:val="26"/>
                <w:szCs w:val="22"/>
                <w:lang w:val="ru-RU" w:eastAsia="en-US" w:bidi="ar-SA"/>
              </w:rPr>
              <w:t>Документы, подтверждающие соответствие Коллективного участника требованиям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_Ref125709228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 предоставляются, если Участник подает заявку от лица Коллективного участника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_Ref130305355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w:t>
            </w:r>
            <w:r>
              <w:rPr>
                <w:sz w:val="26"/>
                <w:kern w:val="0"/>
                <w:szCs w:val="22"/>
                <w:rFonts w:eastAsia="Calibri" w:cs=""/>
                <w:lang w:val="ru-RU" w:eastAsia="en-US" w:bidi="ar-SA"/>
              </w:rPr>
              <w:fldChar w:fldCharType="end"/>
            </w:r>
            <w:r>
              <w:rPr>
                <w:rFonts w:eastAsia="Calibri" w:cs=""/>
                <w:kern w:val="0"/>
                <w:sz w:val="26"/>
                <w:szCs w:val="22"/>
                <w:lang w:val="ru-RU" w:eastAsia="en-US" w:bidi="ar-SA"/>
              </w:rPr>
              <w:t>), а именно:</w:t>
            </w:r>
          </w:p>
          <w:p>
            <w:pPr>
              <w:pStyle w:val="Style29"/>
              <w:widowControl w:val="false"/>
              <w:numPr>
                <w:ilvl w:val="0"/>
                <w:numId w:val="9"/>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План распределения объемов поставки продукции (форма 11);</w:t>
            </w:r>
          </w:p>
          <w:p>
            <w:pPr>
              <w:pStyle w:val="Style29"/>
              <w:widowControl w:val="false"/>
              <w:numPr>
                <w:ilvl w:val="0"/>
                <w:numId w:val="9"/>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Копия Соглашения между членами Коллективного участника, подготовленного в соответствии с требованиями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_Ref125366972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Документации о закупке;</w:t>
            </w:r>
          </w:p>
          <w:p>
            <w:pPr>
              <w:pStyle w:val="Style29"/>
              <w:widowControl w:val="false"/>
              <w:numPr>
                <w:ilvl w:val="0"/>
                <w:numId w:val="9"/>
              </w:numPr>
              <w:suppressAutoHyphens w:val="true"/>
              <w:spacing w:before="60" w:after="60"/>
              <w:ind w:left="284" w:hanging="284"/>
              <w:rPr/>
            </w:pPr>
            <w:r>
              <w:rPr>
                <w:rFonts w:eastAsia="Calibri" w:cs=""/>
                <w:kern w:val="0"/>
                <w:sz w:val="26"/>
                <w:szCs w:val="22"/>
                <w:lang w:val="ru-RU" w:eastAsia="en-US" w:bidi="ar-SA"/>
              </w:rPr>
              <w:t>прочие документы, определенные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_Ref125709228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Style w:val="Style14"/>
                <w:rFonts w:eastAsia="Calibri" w:cs=""/>
                <w:kern w:val="0"/>
                <w:sz w:val="26"/>
                <w:szCs w:val="22"/>
                <w:lang w:val="ru-RU" w:eastAsia="en-US" w:bidi="ar-SA"/>
              </w:rPr>
              <w:t>;</w:t>
            </w:r>
          </w:p>
        </w:tc>
      </w:tr>
      <w:tr>
        <w:trPr/>
        <w:tc>
          <w:tcPr>
            <w:tcW w:w="707" w:type="dxa"/>
            <w:tcBorders/>
          </w:tcPr>
          <w:p>
            <w:pPr>
              <w:pStyle w:val="Style29"/>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9"/>
              <w:widowControl w:val="false"/>
              <w:suppressAutoHyphens w:val="true"/>
              <w:spacing w:before="60" w:after="60"/>
              <w:rPr/>
            </w:pPr>
            <w:r>
              <w:rPr>
                <w:rFonts w:eastAsia="Calibri" w:cs=""/>
                <w:kern w:val="0"/>
                <w:sz w:val="26"/>
                <w:szCs w:val="22"/>
                <w:lang w:val="ru-RU" w:eastAsia="en-US" w:bidi="ar-SA"/>
              </w:rPr>
              <w:t>Документы, подтверждающие соответствие Генерального подрядчика требованиям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8.6</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 предоставляются, если условиями проводимой закупки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рассмотрение, оценка и сопоставление заявок Участников осуществляется с учетом привлекаемых субподрядчиков, и Участник подает заявку от лица Генерального подрядчика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_Ref125361702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3.3</w:t>
            </w:r>
            <w:r>
              <w:rPr>
                <w:sz w:val="26"/>
                <w:kern w:val="0"/>
                <w:szCs w:val="22"/>
                <w:rFonts w:eastAsia="Calibri" w:cs=""/>
                <w:lang w:val="ru-RU" w:eastAsia="en-US" w:bidi="ar-SA"/>
              </w:rPr>
              <w:fldChar w:fldCharType="end"/>
            </w:r>
            <w:r>
              <w:rPr>
                <w:rFonts w:eastAsia="Calibri" w:cs=""/>
                <w:kern w:val="0"/>
                <w:sz w:val="26"/>
                <w:szCs w:val="22"/>
                <w:lang w:val="ru-RU" w:eastAsia="en-US" w:bidi="ar-SA"/>
              </w:rPr>
              <w:t>), а именно:</w:t>
            </w:r>
          </w:p>
          <w:p>
            <w:pPr>
              <w:pStyle w:val="Style29"/>
              <w:widowControl w:val="false"/>
              <w:numPr>
                <w:ilvl w:val="0"/>
                <w:numId w:val="9"/>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План распределения объемов поставки продукции (форма 11);</w:t>
            </w:r>
          </w:p>
          <w:p>
            <w:pPr>
              <w:pStyle w:val="Style29"/>
              <w:widowControl w:val="false"/>
              <w:numPr>
                <w:ilvl w:val="0"/>
                <w:numId w:val="9"/>
              </w:numPr>
              <w:suppressAutoHyphens w:val="true"/>
              <w:spacing w:before="60" w:after="60"/>
              <w:ind w:left="284" w:hanging="284"/>
              <w:rPr/>
            </w:pPr>
            <w:r>
              <w:rPr>
                <w:rFonts w:eastAsia="Calibri" w:cs=""/>
                <w:kern w:val="0"/>
                <w:sz w:val="26"/>
                <w:szCs w:val="22"/>
                <w:lang w:val="ru-RU" w:eastAsia="en-US" w:bidi="ar-SA"/>
              </w:rPr>
              <w:t>прочие документы, определенные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8.6</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Style w:val="Style14"/>
                <w:rFonts w:eastAsia="Calibri" w:cs=""/>
                <w:kern w:val="0"/>
                <w:sz w:val="26"/>
                <w:szCs w:val="22"/>
                <w:lang w:val="ru-RU" w:eastAsia="en-US" w:bidi="ar-SA"/>
              </w:rPr>
              <w:t>;</w:t>
            </w:r>
          </w:p>
        </w:tc>
      </w:tr>
      <w:tr>
        <w:trPr/>
        <w:tc>
          <w:tcPr>
            <w:tcW w:w="707" w:type="dxa"/>
            <w:tcBorders/>
          </w:tcPr>
          <w:p>
            <w:pPr>
              <w:pStyle w:val="Style29"/>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9"/>
              <w:widowControl w:val="false"/>
              <w:suppressAutoHyphens w:val="true"/>
              <w:spacing w:before="60" w:after="60"/>
              <w:rPr/>
            </w:pPr>
            <w:r>
              <w:rPr>
                <w:rFonts w:eastAsia="Calibri" w:cs=""/>
                <w:kern w:val="0"/>
                <w:sz w:val="26"/>
                <w:szCs w:val="22"/>
                <w:lang w:val="ru-RU" w:eastAsia="en-US" w:bidi="ar-SA"/>
              </w:rPr>
              <w:t>Документы (или их копии), подтверждающие соответствие предлагаемой к поставке продукции требованиям, установленным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xml:space="preserve"> – предоставляются, если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xml:space="preserve"> было установлено соответствующее требование;</w:t>
            </w:r>
          </w:p>
        </w:tc>
      </w:tr>
      <w:tr>
        <w:trPr/>
        <w:tc>
          <w:tcPr>
            <w:tcW w:w="707" w:type="dxa"/>
            <w:tcBorders/>
          </w:tcPr>
          <w:p>
            <w:pPr>
              <w:pStyle w:val="Style29"/>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9"/>
              <w:widowControl w:val="false"/>
              <w:suppressAutoHyphens w:val="true"/>
              <w:spacing w:before="60" w:after="60"/>
              <w:rPr/>
            </w:pPr>
            <w:r>
              <w:rPr>
                <w:rFonts w:eastAsia="Calibri" w:cs=""/>
                <w:kern w:val="0"/>
                <w:sz w:val="26"/>
                <w:szCs w:val="22"/>
                <w:lang w:val="ru-RU" w:eastAsia="en-US" w:bidi="ar-SA"/>
              </w:rPr>
              <w:t xml:space="preserve">Электронная копия бухгалтерского баланса (ОКУД 0710001) и отчета о финансовых результатах (ОКУД 0710002) за последний завершенный финансовый год – предоставляется, если на основании ПП 395 в государственном информационном ресурсе https://bo.nalog.ru не размещаются сведения о бухгалтерской (финансовой) отчетности Участника и если в </w:t>
            </w:r>
            <w:hyperlink w:anchor="Прил08_ПорядокОценки">
              <w:r>
                <w:rPr>
                  <w:rStyle w:val="Style14"/>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оценки финансового состояния (устойчивости) Участника.</w:t>
            </w:r>
          </w:p>
        </w:tc>
      </w:tr>
    </w:tbl>
    <w:p>
      <w:pPr>
        <w:sectPr>
          <w:headerReference w:type="default" r:id="rId28"/>
          <w:headerReference w:type="first" r:id="rId29"/>
          <w:footerReference w:type="default" r:id="rId30"/>
          <w:footerReference w:type="first" r:id="rId31"/>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5"/>
        <w:rPr>
          <w:rStyle w:val="Style11"/>
          <w:i w:val="false"/>
          <w:i w:val="false"/>
          <w:iCs w:val="false"/>
          <w:shd w:fill="auto" w:val="clear"/>
        </w:rPr>
      </w:pPr>
      <w:r>
        <w:rPr>
          <w:rStyle w:val="Style11"/>
          <w:i w:val="false"/>
          <w:iCs w:val="false"/>
          <w:shd w:fill="auto" w:val="clear"/>
        </w:rPr>
        <w:t>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p>
    <w:p>
      <w:pPr>
        <w:pStyle w:val="Style23"/>
        <w:rPr/>
      </w:pPr>
      <w:bookmarkStart w:id="375" w:name="_Ref125365264"/>
      <w:bookmarkStart w:id="376" w:name="_Toc220501028"/>
      <w:bookmarkStart w:id="377" w:name="Прил07_ОтборочныеКритерии"/>
      <w:bookmarkEnd w:id="377"/>
      <w:r>
        <w:rPr/>
        <w:t>Приложение № 7 – Отборочные критерии рассмотрения заявок</w:t>
      </w:r>
      <w:bookmarkEnd w:id="375"/>
      <w:bookmarkEnd w:id="376"/>
    </w:p>
    <w:p>
      <w:pPr>
        <w:pStyle w:val="Style24"/>
        <w:spacing w:before="360" w:after="120"/>
        <w:rPr>
          <w:rStyle w:val="Style11"/>
          <w:i w:val="false"/>
          <w:i w:val="false"/>
          <w:iCs w:val="false"/>
          <w:shd w:fill="auto" w:val="clear"/>
        </w:rPr>
      </w:pPr>
      <w:bookmarkStart w:id="378" w:name="_Toc220501029"/>
      <w:r>
        <w:rPr>
          <w:rStyle w:val="Style11"/>
          <w:i w:val="false"/>
          <w:iCs w:val="false"/>
          <w:shd w:fill="auto" w:val="clear"/>
        </w:rPr>
        <w:t>Отборочные критерии рассмотрения заявок</w:t>
      </w:r>
      <w:bookmarkEnd w:id="378"/>
    </w:p>
    <w:tbl>
      <w:tblPr>
        <w:tblStyle w:val="af4"/>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412"/>
        <w:gridCol w:w="8506"/>
        <w:gridCol w:w="3117"/>
        <w:gridCol w:w="2090"/>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29"/>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w:t>
              <w:br/>
              <w:t>критерия</w:t>
            </w:r>
          </w:p>
        </w:tc>
        <w:tc>
          <w:tcPr>
            <w:tcW w:w="8506" w:type="dxa"/>
            <w:tcBorders/>
          </w:tcPr>
          <w:p>
            <w:pPr>
              <w:pStyle w:val="Style29"/>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w:t>
              <w:br/>
              <w:t>отборочного критерия</w:t>
            </w:r>
          </w:p>
        </w:tc>
        <w:tc>
          <w:tcPr>
            <w:tcW w:w="3117" w:type="dxa"/>
            <w:tcBorders/>
          </w:tcPr>
          <w:p>
            <w:pPr>
              <w:pStyle w:val="Style29"/>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 пункта</w:t>
              <w:br/>
              <w:t>Документации о закупке</w:t>
            </w:r>
          </w:p>
        </w:tc>
        <w:tc>
          <w:tcPr>
            <w:tcW w:w="2090" w:type="dxa"/>
            <w:tcBorders/>
          </w:tcPr>
          <w:p>
            <w:pPr>
              <w:pStyle w:val="Style29"/>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Направления</w:t>
              <w:br/>
              <w:t>оценки заявок*</w:t>
            </w:r>
          </w:p>
        </w:tc>
      </w:tr>
      <w:tr>
        <w:trPr/>
        <w:tc>
          <w:tcPr>
            <w:tcW w:w="9918" w:type="dxa"/>
            <w:gridSpan w:val="2"/>
            <w:tcBorders/>
          </w:tcPr>
          <w:p>
            <w:pPr>
              <w:pStyle w:val="Style29"/>
              <w:keepNext w:val="true"/>
              <w:widowControl w:val="false"/>
              <w:suppressAutoHyphens w:val="true"/>
              <w:spacing w:before="60" w:after="60"/>
              <w:rPr>
                <w:b/>
                <w:bCs/>
              </w:rPr>
            </w:pPr>
            <w:r>
              <w:rPr>
                <w:rFonts w:eastAsia="Calibri" w:cs=""/>
                <w:b/>
                <w:bCs/>
                <w:kern w:val="0"/>
                <w:sz w:val="26"/>
                <w:szCs w:val="22"/>
                <w:lang w:val="ru-RU" w:eastAsia="en-US" w:bidi="ar-SA"/>
              </w:rPr>
              <w:t>Состав заявки и правильность ее оформления, в том числе:</w:t>
            </w:r>
          </w:p>
        </w:tc>
        <w:tc>
          <w:tcPr>
            <w:tcW w:w="3117" w:type="dxa"/>
            <w:tcBorders/>
          </w:tcPr>
          <w:p>
            <w:pPr>
              <w:pStyle w:val="Style29"/>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29"/>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2" w:type="dxa"/>
            <w:tcBorders/>
          </w:tcPr>
          <w:p>
            <w:pPr>
              <w:pStyle w:val="Style29"/>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pPr>
            <w:r>
              <w:rPr>
                <w:rFonts w:eastAsia="Calibri" w:cs=""/>
                <w:kern w:val="0"/>
                <w:sz w:val="26"/>
                <w:szCs w:val="22"/>
                <w:lang w:val="ru-RU" w:eastAsia="en-US" w:bidi="ar-SA"/>
              </w:rPr>
              <w:t xml:space="preserve">Наличие в составе заявки обязательных к предоставлению (для целей рассмотрения заявок в рамках отборочной стадии) документов в соответствии с требованиями </w:t>
            </w:r>
            <w:hyperlink w:anchor="Прил06_СоставЗаявки">
              <w:r>
                <w:rPr>
                  <w:rStyle w:val="Style14"/>
                  <w:rFonts w:eastAsia="Calibri" w:cs=""/>
                  <w:kern w:val="0"/>
                  <w:sz w:val="26"/>
                  <w:szCs w:val="22"/>
                  <w:lang w:val="ru-RU" w:eastAsia="en-US" w:bidi="ar-SA"/>
                </w:rPr>
                <w:t>Приложения № 6 «Состав заявки»</w:t>
              </w:r>
            </w:hyperlink>
            <w:r>
              <w:rPr>
                <w:rFonts w:eastAsia="Calibri" w:cs=""/>
                <w:kern w:val="0"/>
                <w:sz w:val="26"/>
                <w:szCs w:val="22"/>
                <w:lang w:val="ru-RU" w:eastAsia="en-US" w:bidi="ar-SA"/>
              </w:rPr>
              <w:t>, а также правильность их оформления (в т.ч. в части наличия должных печатей, подписей, формы заверения, языка и валюты заявки)</w:t>
            </w:r>
          </w:p>
        </w:tc>
        <w:tc>
          <w:tcPr>
            <w:tcW w:w="3117" w:type="dxa"/>
            <w:tcBorders/>
          </w:tcPr>
          <w:p>
            <w:pPr>
              <w:pStyle w:val="Style29"/>
              <w:widowControl w:val="false"/>
              <w:suppressAutoHyphens w:val="true"/>
              <w:spacing w:before="60" w:after="60"/>
              <w:jc w:val="center"/>
              <w:rPr>
                <w:rStyle w:val="Style14"/>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_Ref125362119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4.6</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6_СоставЗаявки">
              <w:r>
                <w:rPr>
                  <w:rStyle w:val="Style14"/>
                  <w:rFonts w:eastAsia="Calibri" w:cs=""/>
                  <w:kern w:val="0"/>
                  <w:sz w:val="26"/>
                  <w:szCs w:val="22"/>
                  <w:lang w:val="ru-RU" w:eastAsia="en-US" w:bidi="ar-SA"/>
                </w:rPr>
                <w:t>Приложение № 6</w:t>
              </w:r>
            </w:hyperlink>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br/>
              <w:t>Цена, Юр</w:t>
            </w:r>
          </w:p>
        </w:tc>
      </w:tr>
      <w:tr>
        <w:trPr/>
        <w:tc>
          <w:tcPr>
            <w:tcW w:w="1412" w:type="dxa"/>
            <w:tcBorders/>
          </w:tcPr>
          <w:p>
            <w:pPr>
              <w:pStyle w:val="Style29"/>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Наличие обеспечения обязательств Участника, связанного с подачей заявки, в виде банковской гарантии и ее соответствие установленным требованиям Документации о закупке – если подразделом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предусмотрена обязанность Участников предоставить обеспечение заявки на участие в закупке и в случае отсутствия внесенных Участником денежных средств на индивидуальный счет, открытый Участнику Оператором ЭП в соответствии с Регламентом ЭП</w:t>
            </w:r>
          </w:p>
        </w:tc>
        <w:tc>
          <w:tcPr>
            <w:tcW w:w="3117"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_Ref130455226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4.17</w:t>
            </w:r>
            <w:r>
              <w:rPr>
                <w:sz w:val="26"/>
                <w:kern w:val="0"/>
                <w:szCs w:val="22"/>
                <w:rFonts w:eastAsia="Calibri" w:cs=""/>
                <w:lang w:val="ru-RU" w:eastAsia="en-US" w:bidi="ar-SA"/>
              </w:rPr>
              <w:fldChar w:fldCharType="end"/>
            </w:r>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 в части наличия сведений в реестре,</w:t>
            </w:r>
          </w:p>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Фин – в части соответствия</w:t>
            </w:r>
          </w:p>
        </w:tc>
      </w:tr>
      <w:tr>
        <w:trPr/>
        <w:tc>
          <w:tcPr>
            <w:tcW w:w="1412" w:type="dxa"/>
            <w:tcBorders/>
          </w:tcPr>
          <w:p>
            <w:pPr>
              <w:pStyle w:val="Style29"/>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Отсутствие в материалах (документах) заявки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 а также противоречий между документами заявки и сведениями, указанными Участником в структурированных формах на ЭП</w:t>
            </w:r>
          </w:p>
        </w:tc>
        <w:tc>
          <w:tcPr>
            <w:tcW w:w="3117"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br/>
              <w:t>Цена, Юр</w:t>
            </w:r>
          </w:p>
        </w:tc>
      </w:tr>
      <w:tr>
        <w:trPr/>
        <w:tc>
          <w:tcPr>
            <w:tcW w:w="9918" w:type="dxa"/>
            <w:gridSpan w:val="2"/>
            <w:tcBorders/>
          </w:tcPr>
          <w:p>
            <w:pPr>
              <w:pStyle w:val="Style29"/>
              <w:keepNext w:val="true"/>
              <w:widowControl w:val="false"/>
              <w:suppressAutoHyphens w:val="true"/>
              <w:spacing w:before="60" w:after="60"/>
              <w:rPr>
                <w:b/>
                <w:bCs/>
              </w:rPr>
            </w:pPr>
            <w:r>
              <w:rPr>
                <w:rFonts w:eastAsia="Calibri" w:cs=""/>
                <w:b/>
                <w:bCs/>
                <w:kern w:val="0"/>
                <w:sz w:val="26"/>
                <w:szCs w:val="22"/>
                <w:lang w:val="ru-RU" w:eastAsia="en-US" w:bidi="ar-SA"/>
              </w:rPr>
              <w:t>Соответствие Письма о подаче оферты:</w:t>
            </w:r>
          </w:p>
        </w:tc>
        <w:tc>
          <w:tcPr>
            <w:tcW w:w="3117" w:type="dxa"/>
            <w:tcBorders/>
          </w:tcPr>
          <w:p>
            <w:pPr>
              <w:pStyle w:val="Style29"/>
              <w:keepNext w:val="true"/>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c>
          <w:tcPr>
            <w:tcW w:w="2090" w:type="dxa"/>
            <w:tcBorders/>
          </w:tcPr>
          <w:p>
            <w:pPr>
              <w:pStyle w:val="Style29"/>
              <w:keepNext w:val="true"/>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r>
      <w:tr>
        <w:trPr/>
        <w:tc>
          <w:tcPr>
            <w:tcW w:w="1412" w:type="dxa"/>
            <w:tcBorders/>
          </w:tcPr>
          <w:p>
            <w:pPr>
              <w:pStyle w:val="Style29"/>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(в том числе содержание) Письма о подаче оферты установленной форме и иным требованиям Документации о закупке, в т.ч. в части наличия должных печатей, подписей, формы заверения, языка, валюты и срока действия заявки</w:t>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_Ref125362119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4.6</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4_ФормыЗаявки">
              <w:r>
                <w:rPr>
                  <w:rStyle w:val="Style14"/>
                  <w:rFonts w:eastAsia="Calibri" w:cs=""/>
                  <w:kern w:val="0"/>
                  <w:sz w:val="26"/>
                  <w:szCs w:val="22"/>
                  <w:lang w:val="ru-RU" w:eastAsia="en-US" w:bidi="ar-SA"/>
                </w:rPr>
                <w:t>Приложение № 4</w:t>
              </w:r>
            </w:hyperlink>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w:t>
            </w:r>
          </w:p>
        </w:tc>
      </w:tr>
      <w:tr>
        <w:trPr/>
        <w:tc>
          <w:tcPr>
            <w:tcW w:w="9918" w:type="dxa"/>
            <w:gridSpan w:val="2"/>
            <w:tcBorders/>
          </w:tcPr>
          <w:p>
            <w:pPr>
              <w:pStyle w:val="Style29"/>
              <w:keepNext w:val="true"/>
              <w:widowControl w:val="false"/>
              <w:suppressAutoHyphens w:val="true"/>
              <w:spacing w:before="60" w:after="60"/>
              <w:rPr>
                <w:b/>
                <w:bCs/>
              </w:rPr>
            </w:pPr>
            <w:r>
              <w:rPr>
                <w:rFonts w:eastAsia="Calibri" w:cs=""/>
                <w:b/>
                <w:bCs/>
                <w:kern w:val="0"/>
                <w:sz w:val="26"/>
                <w:szCs w:val="22"/>
                <w:lang w:val="ru-RU" w:eastAsia="en-US" w:bidi="ar-SA"/>
              </w:rPr>
              <w:t>Соответствие Участника установленным требованиям Документации о закупке, в том числе:</w:t>
            </w:r>
          </w:p>
        </w:tc>
        <w:tc>
          <w:tcPr>
            <w:tcW w:w="3117" w:type="dxa"/>
            <w:tcBorders/>
          </w:tcPr>
          <w:p>
            <w:pPr>
              <w:pStyle w:val="Style29"/>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29"/>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2" w:type="dxa"/>
            <w:tcBorders/>
          </w:tcPr>
          <w:p>
            <w:pPr>
              <w:pStyle w:val="Style29"/>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_Ref125552433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29"/>
              <w:widowControl w:val="false"/>
              <w:suppressAutoHyphens w:val="true"/>
              <w:spacing w:before="60" w:after="60"/>
              <w:rPr>
                <w:i/>
                <w:i/>
                <w:iCs/>
              </w:rPr>
            </w:pPr>
            <w:r>
              <w:rPr>
                <w:rFonts w:eastAsia="Calibri" w:cs=""/>
                <w:i/>
                <w:iCs/>
                <w:kern w:val="0"/>
                <w:sz w:val="26"/>
                <w:szCs w:val="22"/>
                <w:lang w:val="ru-RU" w:eastAsia="en-US" w:bidi="ar-SA"/>
              </w:rPr>
              <w:t>(в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его аккредитации (при</w:t>
            </w:r>
            <w:r>
              <w:rPr>
                <w:rFonts w:eastAsia="Calibri" w:cs=""/>
                <w:i/>
                <w:iCs/>
                <w:kern w:val="0"/>
                <w:sz w:val="26"/>
                <w:szCs w:val="22"/>
                <w:lang w:val="en-US" w:eastAsia="en-US" w:bidi="ar-SA"/>
              </w:rPr>
              <w:t> </w:t>
            </w:r>
            <w:r>
              <w:rPr>
                <w:rFonts w:eastAsia="Calibri" w:cs=""/>
                <w:i/>
                <w:iCs/>
                <w:kern w:val="0"/>
                <w:sz w:val="26"/>
                <w:szCs w:val="22"/>
                <w:lang w:val="ru-RU" w:eastAsia="en-US" w:bidi="ar-SA"/>
              </w:rPr>
              <w:t>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_Ref138232981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5.2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Юр</w:t>
            </w:r>
          </w:p>
        </w:tc>
      </w:tr>
      <w:tr>
        <w:trPr/>
        <w:tc>
          <w:tcPr>
            <w:tcW w:w="1412" w:type="dxa"/>
            <w:tcBorders/>
          </w:tcPr>
          <w:p>
            <w:pPr>
              <w:pStyle w:val="Style29"/>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_Ref139028406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w:t>
            </w:r>
          </w:p>
        </w:tc>
      </w:tr>
      <w:tr>
        <w:trPr/>
        <w:tc>
          <w:tcPr>
            <w:tcW w:w="1412" w:type="dxa"/>
            <w:tcBorders/>
          </w:tcPr>
          <w:p>
            <w:pPr>
              <w:pStyle w:val="Style29"/>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_Ref186128496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29"/>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запрета закупки иностранной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_Ref186128193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w:t>
            </w:r>
          </w:p>
        </w:tc>
      </w:tr>
      <w:tr>
        <w:trPr/>
        <w:tc>
          <w:tcPr>
            <w:tcW w:w="1412" w:type="dxa"/>
            <w:tcBorders/>
          </w:tcPr>
          <w:p>
            <w:pPr>
              <w:pStyle w:val="Style29"/>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_Ref186128503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29"/>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_Ref186128193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w:t>
            </w:r>
          </w:p>
        </w:tc>
      </w:tr>
      <w:tr>
        <w:trPr/>
        <w:tc>
          <w:tcPr>
            <w:tcW w:w="1412" w:type="dxa"/>
            <w:tcBorders/>
          </w:tcPr>
          <w:p>
            <w:pPr>
              <w:pStyle w:val="Style29"/>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специальным требованиям к Участникам</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_Ref125361442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8.3</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29"/>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квалификационным требованиям к Участникам</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_Ref125550270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29"/>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Коллективного участника установленным в отношении его требованиям:</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рассмотрения заявки, поданной Коллективным участником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_Ref130305355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3.2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r>
      <w:tr>
        <w:trPr/>
        <w:tc>
          <w:tcPr>
            <w:tcW w:w="1412" w:type="dxa"/>
            <w:tcBorders/>
          </w:tcPr>
          <w:p>
            <w:pPr>
              <w:pStyle w:val="Style29"/>
              <w:widowControl w:val="false"/>
              <w:numPr>
                <w:ilvl w:val="1"/>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numPr>
                <w:ilvl w:val="0"/>
                <w:numId w:val="9"/>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_Ref125370156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w:t>
            </w:r>
            <w:r>
              <w:rPr>
                <w:sz w:val="26"/>
                <w:kern w:val="0"/>
                <w:szCs w:val="22"/>
                <w:rFonts w:eastAsia="Calibri" w:cs=""/>
                <w:lang w:val="ru-RU" w:eastAsia="en-US" w:bidi="ar-SA"/>
              </w:rPr>
              <w:fldChar w:fldCharType="end"/>
            </w:r>
          </w:p>
          <w:p>
            <w:pPr>
              <w:pStyle w:val="Style29"/>
              <w:widowControl w:val="false"/>
              <w:suppressAutoHyphens w:val="true"/>
              <w:spacing w:before="60" w:after="60"/>
              <w:ind w:left="219" w:hanging="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_Ref138232981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5.2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_Ref125552455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Юр</w:t>
            </w:r>
          </w:p>
        </w:tc>
      </w:tr>
      <w:tr>
        <w:trPr/>
        <w:tc>
          <w:tcPr>
            <w:tcW w:w="1412" w:type="dxa"/>
            <w:tcBorders/>
          </w:tcPr>
          <w:p>
            <w:pPr>
              <w:pStyle w:val="Style29"/>
              <w:widowControl w:val="false"/>
              <w:numPr>
                <w:ilvl w:val="1"/>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numPr>
                <w:ilvl w:val="0"/>
                <w:numId w:val="9"/>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_Ref125553738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2</w:t>
            </w:r>
            <w:r>
              <w:rPr>
                <w:sz w:val="26"/>
                <w:kern w:val="0"/>
                <w:szCs w:val="22"/>
                <w:rFonts w:eastAsia="Calibri" w:cs=""/>
                <w:lang w:val="ru-RU" w:eastAsia="en-US" w:bidi="ar-SA"/>
              </w:rPr>
              <w:fldChar w:fldCharType="end"/>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_Ref125552455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29"/>
              <w:widowControl w:val="false"/>
              <w:numPr>
                <w:ilvl w:val="1"/>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numPr>
                <w:ilvl w:val="0"/>
                <w:numId w:val="9"/>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_Ref125370162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w:t>
            </w:r>
            <w:r>
              <w:rPr>
                <w:sz w:val="26"/>
                <w:kern w:val="0"/>
                <w:szCs w:val="22"/>
                <w:rFonts w:eastAsia="Calibri" w:cs=""/>
                <w:lang w:val="ru-RU" w:eastAsia="en-US" w:bidi="ar-SA"/>
              </w:rPr>
              <w:fldChar w:fldCharType="end"/>
            </w:r>
          </w:p>
          <w:p>
            <w:pPr>
              <w:pStyle w:val="Style29"/>
              <w:widowControl w:val="false"/>
              <w:suppressAutoHyphens w:val="true"/>
              <w:spacing w:before="60" w:after="60"/>
              <w:ind w:left="219" w:hanging="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(в рамках осуществления экспертизы заявки 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_Ref138232981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5.2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_Ref125552455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br/>
              <w:t>Юр</w:t>
            </w:r>
          </w:p>
        </w:tc>
      </w:tr>
      <w:tr>
        <w:trPr/>
        <w:tc>
          <w:tcPr>
            <w:tcW w:w="1412" w:type="dxa"/>
            <w:tcBorders/>
          </w:tcPr>
          <w:p>
            <w:pPr>
              <w:pStyle w:val="Style29"/>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Генерального подрядчика установленным в отношении его требованиям:</w:t>
            </w:r>
          </w:p>
          <w:p>
            <w:pPr>
              <w:pStyle w:val="Style29"/>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проведения закупки, в которой предусмотрена возможность рассмотрения, оценки и сопоставления заявок Участников с учетом привлекаемых субподрядчиков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_Ref125359973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1.2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_Ref125361702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3.3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r>
      <w:tr>
        <w:trPr/>
        <w:tc>
          <w:tcPr>
            <w:tcW w:w="1412" w:type="dxa"/>
            <w:tcBorders/>
          </w:tcPr>
          <w:p>
            <w:pPr>
              <w:pStyle w:val="Style29"/>
              <w:widowControl w:val="false"/>
              <w:numPr>
                <w:ilvl w:val="1"/>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numPr>
                <w:ilvl w:val="0"/>
                <w:numId w:val="9"/>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пунктов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_Ref125370187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_Ref125370199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_Ref125553847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w:t>
            </w:r>
            <w:r>
              <w:rPr>
                <w:sz w:val="26"/>
                <w:kern w:val="0"/>
                <w:szCs w:val="22"/>
                <w:rFonts w:eastAsia="Calibri" w:cs=""/>
                <w:lang w:val="ru-RU" w:eastAsia="en-US" w:bidi="ar-SA"/>
              </w:rPr>
              <w:fldChar w:fldCharType="end"/>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8.6</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29"/>
              <w:widowControl w:val="false"/>
              <w:numPr>
                <w:ilvl w:val="1"/>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numPr>
                <w:ilvl w:val="0"/>
                <w:numId w:val="9"/>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_Ref125370193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w:t>
            </w:r>
            <w:r>
              <w:rPr>
                <w:sz w:val="26"/>
                <w:kern w:val="0"/>
                <w:szCs w:val="22"/>
                <w:rFonts w:eastAsia="Calibri" w:cs=""/>
                <w:lang w:val="ru-RU" w:eastAsia="en-US" w:bidi="ar-SA"/>
              </w:rPr>
              <w:fldChar w:fldCharType="end"/>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8.6</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r>
          </w:p>
        </w:tc>
      </w:tr>
      <w:tr>
        <w:trPr/>
        <w:tc>
          <w:tcPr>
            <w:tcW w:w="9918" w:type="dxa"/>
            <w:gridSpan w:val="2"/>
            <w:tcBorders/>
          </w:tcPr>
          <w:p>
            <w:pPr>
              <w:pStyle w:val="Style29"/>
              <w:keepNext w:val="true"/>
              <w:widowControl w:val="false"/>
              <w:suppressAutoHyphens w:val="true"/>
              <w:spacing w:before="60" w:after="60"/>
              <w:rPr>
                <w:b/>
                <w:bCs/>
              </w:rPr>
            </w:pPr>
            <w:r>
              <w:rPr>
                <w:rFonts w:eastAsia="Calibri" w:cs=""/>
                <w:b/>
                <w:bCs/>
                <w:kern w:val="0"/>
                <w:sz w:val="26"/>
                <w:szCs w:val="22"/>
                <w:lang w:val="ru-RU" w:eastAsia="en-US" w:bidi="ar-SA"/>
              </w:rPr>
              <w:t xml:space="preserve">Соответствие Технического предложения Участника </w:t>
            </w:r>
            <w:hyperlink w:anchor="Прил01_ТехТребования">
              <w:r>
                <w:rPr>
                  <w:rStyle w:val="Style14"/>
                  <w:rFonts w:eastAsia="Calibri" w:cs=""/>
                  <w:b/>
                  <w:bCs/>
                  <w:kern w:val="0"/>
                  <w:sz w:val="26"/>
                  <w:szCs w:val="22"/>
                  <w:lang w:val="ru-RU" w:eastAsia="en-US" w:bidi="ar-SA"/>
                </w:rPr>
                <w:t>Техническим требованиям (Приложение № 1)</w:t>
              </w:r>
            </w:hyperlink>
            <w:r>
              <w:rPr>
                <w:rFonts w:eastAsia="Calibri" w:cs=""/>
                <w:b/>
                <w:bCs/>
                <w:kern w:val="0"/>
                <w:sz w:val="26"/>
                <w:szCs w:val="22"/>
                <w:lang w:val="ru-RU" w:eastAsia="en-US" w:bidi="ar-SA"/>
              </w:rPr>
              <w:t>, в том числе:</w:t>
            </w:r>
          </w:p>
        </w:tc>
        <w:tc>
          <w:tcPr>
            <w:tcW w:w="3117" w:type="dxa"/>
            <w:tcBorders/>
          </w:tcPr>
          <w:p>
            <w:pPr>
              <w:pStyle w:val="Style29"/>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29"/>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2" w:type="dxa"/>
            <w:tcBorders/>
          </w:tcPr>
          <w:p>
            <w:pPr>
              <w:pStyle w:val="Style29"/>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pPr>
            <w:r>
              <w:rPr>
                <w:rFonts w:eastAsia="Calibri" w:cs=""/>
                <w:kern w:val="0"/>
                <w:sz w:val="26"/>
                <w:szCs w:val="22"/>
                <w:lang w:val="ru-RU" w:eastAsia="en-US" w:bidi="ar-SA"/>
              </w:rPr>
              <w:t xml:space="preserve">Соответствие предложения установленным требованиям к предоставлению национального режима, в том числе в части состава и требований к информации и перечню документов, которые подтверждают страну происхождения товара, установленным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p>
          <w:p>
            <w:pPr>
              <w:pStyle w:val="Style29"/>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запрета закупки иностранной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_Ref186128193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_Ref186128193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29"/>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pPr>
            <w:r>
              <w:rPr>
                <w:rFonts w:eastAsia="Calibri" w:cs=""/>
                <w:kern w:val="0"/>
                <w:sz w:val="26"/>
                <w:szCs w:val="22"/>
                <w:lang w:val="ru-RU" w:eastAsia="en-US" w:bidi="ar-SA"/>
              </w:rP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p>
          <w:p>
            <w:pPr>
              <w:pStyle w:val="Style29"/>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_Ref186128193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_Ref186128193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29"/>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pPr>
            <w:r>
              <w:rPr>
                <w:rFonts w:eastAsia="Calibri" w:cs=""/>
                <w:kern w:val="0"/>
                <w:sz w:val="26"/>
                <w:szCs w:val="22"/>
                <w:lang w:val="ru-RU" w:eastAsia="en-US" w:bidi="ar-SA"/>
              </w:rPr>
              <w:t xml:space="preserve">Соответствие объемов и состава работ / услуг, технологии производства работ, предложенных Участником в Техническом предложении, Коммерческом предложении и (или) прилагаемой к нему подтверждающей документации, требованиям, указанным в </w:t>
            </w:r>
            <w:hyperlink w:anchor="Прил01_ТехТребования">
              <w:r>
                <w:rPr>
                  <w:rStyle w:val="Style14"/>
                  <w:rFonts w:eastAsia="Calibri" w:cs=""/>
                  <w:kern w:val="0"/>
                  <w:sz w:val="26"/>
                  <w:szCs w:val="22"/>
                  <w:lang w:val="ru-RU" w:eastAsia="en-US" w:bidi="ar-SA"/>
                </w:rPr>
                <w:t>Технический требованиях (Приложение № 1)</w:t>
              </w:r>
            </w:hyperlink>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29"/>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pPr>
            <w:r>
              <w:rPr>
                <w:rFonts w:eastAsia="Calibri" w:cs=""/>
                <w:kern w:val="0"/>
                <w:sz w:val="26"/>
                <w:szCs w:val="22"/>
                <w:lang w:val="ru-RU" w:eastAsia="en-US" w:bidi="ar-SA"/>
              </w:rPr>
              <w:t xml:space="preserve">Соответствие номенклатуры, количества и характеристик материалов / оборудования, предложенных Участником в Техническом предложении, Коммерческом предложении и (или) прилагаемой к нему подтверждающей документации, требованиям, указанным в </w:t>
            </w:r>
            <w:hyperlink w:anchor="Прил01_ТехТребования">
              <w:r>
                <w:rPr>
                  <w:rStyle w:val="Style14"/>
                  <w:rFonts w:eastAsia="Calibri" w:cs=""/>
                  <w:kern w:val="0"/>
                  <w:sz w:val="26"/>
                  <w:szCs w:val="22"/>
                  <w:lang w:val="ru-RU" w:eastAsia="en-US" w:bidi="ar-SA"/>
                </w:rPr>
                <w:t>Технический требованиях (Приложение № 1)</w:t>
              </w:r>
            </w:hyperlink>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29"/>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pPr>
            <w:r>
              <w:rPr>
                <w:rFonts w:eastAsia="Calibri" w:cs=""/>
                <w:kern w:val="0"/>
                <w:sz w:val="26"/>
                <w:szCs w:val="22"/>
                <w:lang w:val="ru-RU" w:eastAsia="en-US" w:bidi="ar-SA"/>
              </w:rPr>
              <w:t xml:space="preserve">Соответствие Календарного графика требованиям к срокам и этапам реализации Договора, указанным в </w:t>
            </w:r>
            <w:hyperlink w:anchor="Прил01_ТехТребования">
              <w:r>
                <w:rPr>
                  <w:rStyle w:val="Style14"/>
                  <w:rFonts w:eastAsia="Calibri" w:cs=""/>
                  <w:kern w:val="0"/>
                  <w:sz w:val="26"/>
                  <w:szCs w:val="22"/>
                  <w:lang w:val="ru-RU" w:eastAsia="en-US" w:bidi="ar-SA"/>
                </w:rPr>
                <w:t>Технический требованиях (Приложение № 1)</w:t>
              </w:r>
            </w:hyperlink>
            <w:r>
              <w:rPr>
                <w:rFonts w:eastAsia="Calibri" w:cs=""/>
                <w:kern w:val="0"/>
                <w:sz w:val="26"/>
                <w:szCs w:val="22"/>
                <w:lang w:val="ru-RU" w:eastAsia="en-US" w:bidi="ar-SA"/>
              </w:rPr>
              <w:t xml:space="preserve"> и (или) в </w:t>
            </w:r>
            <w:hyperlink w:anchor="Прил02_ПроектДоговора">
              <w:r>
                <w:rPr>
                  <w:rStyle w:val="Style14"/>
                  <w:rFonts w:eastAsia="Calibri" w:cs=""/>
                  <w:kern w:val="0"/>
                  <w:sz w:val="26"/>
                  <w:szCs w:val="22"/>
                  <w:lang w:val="ru-RU" w:eastAsia="en-US" w:bidi="ar-SA"/>
                </w:rPr>
                <w:t>Проекте договора (Приложение № 2)</w:t>
              </w:r>
            </w:hyperlink>
          </w:p>
        </w:tc>
        <w:tc>
          <w:tcPr>
            <w:tcW w:w="3117" w:type="dxa"/>
            <w:tcBorders/>
          </w:tcPr>
          <w:p>
            <w:pPr>
              <w:pStyle w:val="Style29"/>
              <w:widowControl w:val="false"/>
              <w:suppressAutoHyphens w:val="true"/>
              <w:spacing w:before="60" w:after="60"/>
              <w:jc w:val="center"/>
              <w:rPr/>
            </w:pPr>
            <w:hyperlink w:anchor="Прил01_ТехТребования">
              <w:r>
                <w:rPr>
                  <w:rStyle w:val="Style14"/>
                  <w:rFonts w:eastAsia="Calibri" w:cs=""/>
                  <w:kern w:val="0"/>
                  <w:sz w:val="26"/>
                  <w:szCs w:val="22"/>
                  <w:lang w:val="ru-RU" w:eastAsia="en-US" w:bidi="ar-SA"/>
                </w:rPr>
                <w:t>Приложение № 1</w:t>
              </w:r>
            </w:hyperlink>
            <w:r>
              <w:rPr>
                <w:rFonts w:eastAsia="Calibri" w:cs=""/>
                <w:kern w:val="0"/>
                <w:sz w:val="26"/>
                <w:szCs w:val="22"/>
                <w:lang w:val="ru-RU" w:eastAsia="en-US" w:bidi="ar-SA"/>
              </w:rPr>
              <w:t>,</w:t>
              <w:br/>
            </w:r>
            <w:hyperlink w:anchor="Прил02_ПроектДоговора">
              <w:r>
                <w:rPr>
                  <w:rStyle w:val="Style14"/>
                  <w:rFonts w:eastAsia="Calibri" w:cs=""/>
                  <w:kern w:val="0"/>
                  <w:sz w:val="26"/>
                  <w:szCs w:val="22"/>
                  <w:lang w:val="ru-RU" w:eastAsia="en-US" w:bidi="ar-SA"/>
                </w:rPr>
                <w:t>Приложение № 2</w:t>
              </w:r>
            </w:hyperlink>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29"/>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pPr>
            <w:r>
              <w:rPr>
                <w:rFonts w:eastAsia="Calibri" w:cs=""/>
                <w:kern w:val="0"/>
                <w:sz w:val="26"/>
                <w:szCs w:val="22"/>
                <w:lang w:val="ru-RU" w:eastAsia="en-US" w:bidi="ar-SA"/>
              </w:rPr>
              <w:t xml:space="preserve">Соответствие требованиям к гарантии на поставляемые материалы / оборудование и результаты выполненных работ, указанным в </w:t>
            </w:r>
            <w:hyperlink w:anchor="Прил01_ТехТребования">
              <w:r>
                <w:rPr>
                  <w:rStyle w:val="Style14"/>
                  <w:rFonts w:eastAsia="Calibri" w:cs=""/>
                  <w:kern w:val="0"/>
                  <w:sz w:val="26"/>
                  <w:szCs w:val="22"/>
                  <w:lang w:val="ru-RU" w:eastAsia="en-US" w:bidi="ar-SA"/>
                </w:rPr>
                <w:t>Технический требованиях (Приложение № 1)</w:t>
              </w:r>
            </w:hyperlink>
            <w:r>
              <w:rPr>
                <w:rFonts w:eastAsia="Calibri" w:cs=""/>
                <w:kern w:val="0"/>
                <w:sz w:val="26"/>
                <w:szCs w:val="22"/>
                <w:lang w:val="ru-RU" w:eastAsia="en-US" w:bidi="ar-SA"/>
              </w:rPr>
              <w:t xml:space="preserve"> и (или) в </w:t>
            </w:r>
            <w:hyperlink w:anchor="Прил02_ПроектДоговора">
              <w:r>
                <w:rPr>
                  <w:rStyle w:val="Style14"/>
                  <w:rFonts w:eastAsia="Calibri" w:cs=""/>
                  <w:kern w:val="0"/>
                  <w:sz w:val="26"/>
                  <w:szCs w:val="22"/>
                  <w:lang w:val="ru-RU" w:eastAsia="en-US" w:bidi="ar-SA"/>
                </w:rPr>
                <w:t>Проекте договора (Приложение № 2)</w:t>
              </w:r>
            </w:hyperlink>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29"/>
              <w:widowControl w:val="false"/>
              <w:suppressAutoHyphens w:val="true"/>
              <w:spacing w:before="60" w:after="60"/>
              <w:jc w:val="center"/>
              <w:rPr/>
            </w:pPr>
            <w:hyperlink w:anchor="Прил01_ТехТребования">
              <w:r>
                <w:rPr>
                  <w:rStyle w:val="Style14"/>
                  <w:rFonts w:eastAsia="Calibri" w:cs=""/>
                  <w:kern w:val="0"/>
                  <w:sz w:val="26"/>
                  <w:szCs w:val="22"/>
                  <w:lang w:val="ru-RU" w:eastAsia="en-US" w:bidi="ar-SA"/>
                </w:rPr>
                <w:t>Приложение № 1</w:t>
              </w:r>
            </w:hyperlink>
            <w:r>
              <w:rPr>
                <w:rFonts w:eastAsia="Calibri" w:cs=""/>
                <w:kern w:val="0"/>
                <w:sz w:val="26"/>
                <w:szCs w:val="22"/>
                <w:lang w:val="ru-RU" w:eastAsia="en-US" w:bidi="ar-SA"/>
              </w:rPr>
              <w:t>,</w:t>
              <w:br/>
            </w:r>
            <w:hyperlink w:anchor="Прил02_ПроектДоговора">
              <w:r>
                <w:rPr>
                  <w:rStyle w:val="Style14"/>
                  <w:rFonts w:eastAsia="Calibri" w:cs=""/>
                  <w:kern w:val="0"/>
                  <w:sz w:val="26"/>
                  <w:szCs w:val="22"/>
                  <w:lang w:val="ru-RU" w:eastAsia="en-US" w:bidi="ar-SA"/>
                </w:rPr>
                <w:t>Приложение № 2</w:t>
              </w:r>
            </w:hyperlink>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29"/>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pPr>
            <w:r>
              <w:rPr>
                <w:rFonts w:eastAsia="Calibri" w:cs=""/>
                <w:kern w:val="0"/>
                <w:sz w:val="26"/>
                <w:szCs w:val="22"/>
                <w:lang w:val="ru-RU" w:eastAsia="en-US" w:bidi="ar-SA"/>
              </w:rPr>
              <w:t xml:space="preserve">Соответствие предлагаемой к поставке продукции иным требованиям, установленным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с предоставлением требуемых подтверждающих документов</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29"/>
              <w:widowControl w:val="false"/>
              <w:suppressAutoHyphens w:val="true"/>
              <w:spacing w:before="60" w:after="60"/>
              <w:jc w:val="center"/>
              <w:rPr/>
            </w:pP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9918" w:type="dxa"/>
            <w:gridSpan w:val="2"/>
            <w:tcBorders/>
          </w:tcPr>
          <w:p>
            <w:pPr>
              <w:pStyle w:val="Style29"/>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Соответствие Коммерческого предложения Участника требованиям Документации о закупке, в том числе:</w:t>
            </w:r>
          </w:p>
        </w:tc>
        <w:tc>
          <w:tcPr>
            <w:tcW w:w="3117"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r>
      <w:tr>
        <w:trPr/>
        <w:tc>
          <w:tcPr>
            <w:tcW w:w="1412" w:type="dxa"/>
            <w:tcBorders/>
          </w:tcPr>
          <w:p>
            <w:pPr>
              <w:pStyle w:val="Style29"/>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Коммерческого предложения</w:t>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4_ФормыЗаявки">
              <w:r>
                <w:rPr>
                  <w:rStyle w:val="Style14"/>
                  <w:rFonts w:eastAsia="Calibri" w:cs=""/>
                  <w:kern w:val="0"/>
                  <w:sz w:val="26"/>
                  <w:szCs w:val="22"/>
                  <w:lang w:val="ru-RU" w:eastAsia="en-US" w:bidi="ar-SA"/>
                </w:rPr>
                <w:t>Приложение № 4</w:t>
              </w:r>
            </w:hyperlink>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Цена</w:t>
            </w:r>
          </w:p>
        </w:tc>
      </w:tr>
      <w:tr>
        <w:trPr/>
        <w:tc>
          <w:tcPr>
            <w:tcW w:w="1412" w:type="dxa"/>
            <w:tcBorders/>
          </w:tcPr>
          <w:p>
            <w:pPr>
              <w:pStyle w:val="Style29"/>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pPr>
            <w:r>
              <w:rPr>
                <w:rFonts w:eastAsia="Calibri" w:cs=""/>
                <w:kern w:val="0"/>
                <w:sz w:val="26"/>
                <w:szCs w:val="22"/>
                <w:lang w:val="ru-RU" w:eastAsia="en-US" w:bidi="ar-SA"/>
              </w:rPr>
              <w:t>Соответствие подтверждающей документации, прилагаемой к</w:t>
            </w:r>
            <w:r>
              <w:rPr>
                <w:rFonts w:eastAsia="Calibri" w:cs=""/>
                <w:kern w:val="0"/>
                <w:sz w:val="26"/>
                <w:szCs w:val="22"/>
                <w:lang w:val="en-US" w:eastAsia="en-US" w:bidi="ar-SA"/>
              </w:rPr>
              <w:t> </w:t>
            </w:r>
            <w:r>
              <w:rPr>
                <w:rFonts w:eastAsia="Calibri" w:cs=""/>
                <w:kern w:val="0"/>
                <w:sz w:val="26"/>
                <w:szCs w:val="22"/>
                <w:lang w:val="ru-RU" w:eastAsia="en-US" w:bidi="ar-SA"/>
              </w:rPr>
              <w:t xml:space="preserve">Коммерческому приложению, требованиям, указанным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p>
          <w:p>
            <w:pPr>
              <w:pStyle w:val="Style29"/>
              <w:widowControl w:val="false"/>
              <w:suppressAutoHyphens w:val="true"/>
              <w:spacing w:before="60" w:after="60"/>
              <w:rPr/>
            </w:pPr>
            <w:r>
              <w:rPr>
                <w:rFonts w:eastAsia="Calibri" w:cs=""/>
                <w:i/>
                <w:iCs/>
                <w:kern w:val="0"/>
                <w:sz w:val="26"/>
                <w:szCs w:val="22"/>
                <w:lang w:val="ru-RU" w:eastAsia="en-US" w:bidi="ar-SA"/>
              </w:rPr>
              <w:t xml:space="preserve">(пункт применяется только в случае установления соответствующих требований в </w:t>
            </w:r>
            <w:hyperlink w:anchor="Прил01_ТехТребования">
              <w:r>
                <w:rPr>
                  <w:rStyle w:val="Style14"/>
                  <w:rFonts w:eastAsia="Calibri" w:cs=""/>
                  <w:i/>
                  <w:iCs/>
                  <w:kern w:val="0"/>
                  <w:sz w:val="26"/>
                  <w:szCs w:val="22"/>
                  <w:lang w:val="ru-RU" w:eastAsia="en-US" w:bidi="ar-SA"/>
                </w:rPr>
                <w:t>Технических требованиях (Приложение № 1)</w:t>
              </w:r>
            </w:hyperlink>
            <w:r>
              <w:rPr>
                <w:rFonts w:eastAsia="Calibri" w:cs=""/>
                <w:i/>
                <w:iCs/>
                <w:kern w:val="0"/>
                <w:sz w:val="26"/>
                <w:szCs w:val="22"/>
                <w:lang w:val="ru-RU" w:eastAsia="en-US" w:bidi="ar-SA"/>
              </w:rPr>
              <w:t>)</w:t>
            </w:r>
          </w:p>
        </w:tc>
        <w:tc>
          <w:tcPr>
            <w:tcW w:w="3117" w:type="dxa"/>
            <w:tcBorders/>
          </w:tcPr>
          <w:p>
            <w:pPr>
              <w:pStyle w:val="Style29"/>
              <w:widowControl w:val="false"/>
              <w:suppressAutoHyphens w:val="true"/>
              <w:spacing w:before="60" w:after="60"/>
              <w:jc w:val="center"/>
              <w:rPr/>
            </w:pP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Цена</w:t>
            </w:r>
          </w:p>
        </w:tc>
      </w:tr>
    </w:tbl>
    <w:p>
      <w:pPr>
        <w:pStyle w:val="Style24"/>
        <w:rPr>
          <w:rStyle w:val="Style11"/>
          <w:i w:val="false"/>
          <w:i w:val="false"/>
          <w:iCs w:val="false"/>
          <w:shd w:fill="auto" w:val="clear"/>
        </w:rPr>
      </w:pPr>
      <w:bookmarkStart w:id="379" w:name="_Toc220501030"/>
      <w:r>
        <w:rPr>
          <w:rStyle w:val="Style11"/>
          <w:i w:val="false"/>
          <w:iCs w:val="false"/>
          <w:shd w:fill="auto" w:val="clear"/>
        </w:rPr>
        <w:t>Дополнительные критерии проверки заявок на соответствие условиям Документации о закупке</w:t>
      </w:r>
      <w:bookmarkEnd w:id="379"/>
    </w:p>
    <w:p>
      <w:pPr>
        <w:pStyle w:val="Style29"/>
        <w:keepNext w:val="true"/>
        <w:spacing w:before="120" w:after="120"/>
        <w:rPr/>
      </w:pPr>
      <w:r>
        <w:rPr/>
        <w:t>Несоответствие одному или всем дополнительным критериям не является основанием для отклонения заявки.</w:t>
      </w:r>
    </w:p>
    <w:tbl>
      <w:tblPr>
        <w:tblStyle w:val="af4"/>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412"/>
        <w:gridCol w:w="8506"/>
        <w:gridCol w:w="3117"/>
        <w:gridCol w:w="2090"/>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29"/>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w:t>
              <w:br/>
              <w:t>критерия</w:t>
            </w:r>
          </w:p>
        </w:tc>
        <w:tc>
          <w:tcPr>
            <w:tcW w:w="8506" w:type="dxa"/>
            <w:tcBorders/>
          </w:tcPr>
          <w:p>
            <w:pPr>
              <w:pStyle w:val="Style29"/>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w:t>
              <w:br/>
              <w:t>критерия проверки</w:t>
            </w:r>
          </w:p>
        </w:tc>
        <w:tc>
          <w:tcPr>
            <w:tcW w:w="3117" w:type="dxa"/>
            <w:tcBorders/>
          </w:tcPr>
          <w:p>
            <w:pPr>
              <w:pStyle w:val="Style29"/>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 пункта</w:t>
              <w:br/>
              <w:t>Документации о закупке</w:t>
            </w:r>
          </w:p>
        </w:tc>
        <w:tc>
          <w:tcPr>
            <w:tcW w:w="2090" w:type="dxa"/>
            <w:tcBorders/>
          </w:tcPr>
          <w:p>
            <w:pPr>
              <w:pStyle w:val="Style29"/>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Направления</w:t>
              <w:br/>
              <w:t>оценки заявок*</w:t>
            </w:r>
          </w:p>
        </w:tc>
      </w:tr>
      <w:tr>
        <w:trPr/>
        <w:tc>
          <w:tcPr>
            <w:tcW w:w="1412" w:type="dxa"/>
            <w:tcBorders/>
          </w:tcPr>
          <w:p>
            <w:pPr>
              <w:pStyle w:val="Style29"/>
              <w:widowControl w:val="false"/>
              <w:numPr>
                <w:ilvl w:val="0"/>
                <w:numId w:val="11"/>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Наличие в заявке в форме Коммерческого предложения информации о стране происхождения товара</w:t>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_Ref132894106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4.13</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4_ФормыЗаявки">
              <w:r>
                <w:rPr>
                  <w:rStyle w:val="Style14"/>
                  <w:rFonts w:eastAsia="Calibri" w:cs=""/>
                  <w:kern w:val="0"/>
                  <w:sz w:val="26"/>
                  <w:szCs w:val="22"/>
                  <w:lang w:val="ru-RU" w:eastAsia="en-US" w:bidi="ar-SA"/>
                </w:rPr>
                <w:t>Приложение № 4</w:t>
              </w:r>
            </w:hyperlink>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Цена</w:t>
            </w:r>
          </w:p>
        </w:tc>
      </w:tr>
    </w:tbl>
    <w:p>
      <w:pPr>
        <w:pStyle w:val="Style29"/>
        <w:keepNext w:val="true"/>
        <w:tabs>
          <w:tab w:val="clear" w:pos="708"/>
          <w:tab w:val="left" w:pos="851" w:leader="none"/>
        </w:tabs>
        <w:spacing w:before="240" w:after="0"/>
        <w:rPr>
          <w:b/>
          <w:bCs/>
        </w:rPr>
      </w:pPr>
      <w:r>
        <w:rPr>
          <w:b/>
          <w:bCs/>
        </w:rPr>
        <w:t>* Направления оценки заявок:</w:t>
      </w:r>
    </w:p>
    <w:p>
      <w:pPr>
        <w:pStyle w:val="Style29"/>
        <w:tabs>
          <w:tab w:val="clear" w:pos="708"/>
          <w:tab w:val="left" w:pos="1134" w:leader="none"/>
        </w:tabs>
        <w:ind w:left="1701" w:hanging="1701"/>
        <w:rPr/>
      </w:pPr>
      <w:r>
        <w:rPr>
          <w:b/>
          <w:bCs/>
        </w:rPr>
        <w:t>Орг</w:t>
      </w:r>
      <w:r>
        <w:rPr/>
        <w:tab/>
        <w:t>–</w:t>
        <w:tab/>
        <w:t xml:space="preserve">проверка наличия в составе заявки необходимых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 наличия обеспечения обязательств Участника, связанного с подачей заявки, в виде банковской гарантии (в том числе наличие сведений о ней в соответствующем реестре в ЕИС) – в случае отсутствия внесенных Участником денежных средств на индивидуальный счет, открытый Участнику Оператором ЭП в соответствии с Регламентом ЭП </w:t>
      </w:r>
      <w:r>
        <w:rPr>
          <w:i/>
          <w:iCs/>
        </w:rPr>
        <w:t>(последние применяется только в случае установления соответствующих требований)</w:t>
      </w:r>
      <w:r>
        <w:rPr/>
        <w:t>; наличие у Участника статуса «аккредитован», либо статуса «аккредитация не требуется» (или наличие заявки на аккредитацию (при необходимости)), участвует в процедуре актуализации статуса аккредитации (при необходимости); 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проверка наличия информации об</w:t>
      </w:r>
      <w:r>
        <w:rPr>
          <w:lang w:val="en-US"/>
        </w:rPr>
        <w:t> </w:t>
      </w:r>
      <w:r>
        <w:rPr/>
        <w:t>Участнике в Реестре МСП (https://rmsp.nalog.ru/index.html),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 наличие информации на официальном сайте федерального органа исполнительной власти, уполномоченного по</w:t>
      </w:r>
      <w:r>
        <w:rPr>
          <w:lang w:val="en-US"/>
        </w:rPr>
        <w:t> </w:t>
      </w:r>
      <w:r>
        <w:rPr/>
        <w:t>контролю и надзору в области налогов и сборов, о применении ими такого налогового режима (https://npd.nalog.ru/check-status/);</w:t>
      </w:r>
    </w:p>
    <w:p>
      <w:pPr>
        <w:pStyle w:val="Style29"/>
        <w:tabs>
          <w:tab w:val="clear" w:pos="708"/>
          <w:tab w:val="left" w:pos="1134" w:leader="none"/>
        </w:tabs>
        <w:ind w:left="1701" w:hanging="1701"/>
        <w:rPr/>
      </w:pPr>
      <w:r>
        <w:rPr>
          <w:b/>
          <w:bCs/>
        </w:rPr>
        <w:t>Тех</w:t>
      </w:r>
      <w:r>
        <w:rPr/>
        <w:tab/>
        <w:t>–</w:t>
        <w:tab/>
        <w:t xml:space="preserve">проверка наличия в составе заявки всех необходимых документов для рассмотрения экспертом по своему направлению, а также правильности их оформления; оценка Технических предложений и сведений, подтверждающих соответствия Участника квалификационным и специальным требованиям; </w:t>
      </w:r>
      <w:bookmarkStart w:id="380" w:name="_Hlk138342998"/>
      <w:r>
        <w:rPr/>
        <w:t>проверка технической части подтверждающей документации, прилагаемой к Коммерческому предложению (при наличии), а также, при необходимости, технических условий исполнения Договора</w:t>
      </w:r>
      <w:bookmarkEnd w:id="380"/>
      <w:r>
        <w:rPr/>
        <w:t>;</w:t>
      </w:r>
    </w:p>
    <w:p>
      <w:pPr>
        <w:pStyle w:val="Style29"/>
        <w:tabs>
          <w:tab w:val="clear" w:pos="708"/>
          <w:tab w:val="left" w:pos="1134" w:leader="none"/>
        </w:tabs>
        <w:ind w:left="1701" w:hanging="1701"/>
        <w:rPr/>
      </w:pPr>
      <w:r>
        <w:rPr>
          <w:b/>
          <w:bCs/>
        </w:rPr>
        <w:t>Юр</w:t>
      </w:r>
      <w:r>
        <w:rPr/>
        <w:tab/>
        <w:t>–</w:t>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 необходимости) на основании выписки из ЕГРЮЛ (выписка из ЕГРЮЛ доступна на официальном сервисе ФНС России https://egrul.nalog.ru/index.html);</w:t>
      </w:r>
    </w:p>
    <w:p>
      <w:pPr>
        <w:pStyle w:val="Style29"/>
        <w:keepNext w:val="true"/>
        <w:tabs>
          <w:tab w:val="clear" w:pos="708"/>
          <w:tab w:val="left" w:pos="1134" w:leader="none"/>
        </w:tabs>
        <w:ind w:left="1701" w:hanging="1701"/>
        <w:rPr/>
      </w:pPr>
      <w:r>
        <w:rPr>
          <w:b/>
          <w:bCs/>
        </w:rPr>
        <w:t>Цена</w:t>
      </w:r>
      <w:r>
        <w:rPr/>
        <w:tab/>
        <w:t>–</w:t>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и валюты заявки); проверка отсутствия противоречий (в части стоимости заявки (цены Договора)) между Письмом о подаче оферты и сведениями, указанными Участником в структурированных формах на ЭП; оценка Коммерческого предложения Участника, а также (при наличии) прилагаемой к нему подтверждающей документации (включая спецификацию) на предмет не превышения ценового предложения участника установленного размера НМЦ.</w:t>
      </w:r>
    </w:p>
    <w:p>
      <w:pPr>
        <w:pStyle w:val="Style29"/>
        <w:tabs>
          <w:tab w:val="clear" w:pos="708"/>
          <w:tab w:val="left" w:pos="1134" w:leader="none"/>
        </w:tabs>
        <w:ind w:left="1701" w:hanging="1701"/>
        <w:rPr/>
      </w:pPr>
      <w:r>
        <w:rPr>
          <w:b/>
          <w:bCs/>
        </w:rPr>
        <w:t>Фин</w:t>
      </w:r>
      <w:r>
        <w:rPr/>
        <w:tab/>
        <w:t>–</w:t>
        <w:tab/>
        <w:t xml:space="preserve">оценка банковской гарантии, в том числе правильность оформления рассматриваемых документов (в т.ч. в части наличия должных печатей, подписей формы заверения, языка и валюты заявки) </w:t>
      </w:r>
      <w:r>
        <w:rPr>
          <w:i/>
          <w:iCs/>
        </w:rPr>
        <w:t>(финансовая экспертиза проводится по инициативе эксперта по направлениям Орг, в случае наличия в заявке банковской гарантии)</w:t>
      </w:r>
      <w:r>
        <w:rPr/>
        <w:t>.</w:t>
      </w:r>
    </w:p>
    <w:p>
      <w:pPr>
        <w:sectPr>
          <w:headerReference w:type="default" r:id="rId32"/>
          <w:headerReference w:type="first" r:id="rId33"/>
          <w:footerReference w:type="default" r:id="rId34"/>
          <w:footerReference w:type="first" r:id="rId35"/>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Style w:val="Style29"/>
        <w:rPr/>
      </w:pPr>
      <w:r>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материалов (документов), являющихся предметом его экспертизы).</w:t>
      </w:r>
    </w:p>
    <w:p>
      <w:pPr>
        <w:pStyle w:val="Style23"/>
        <w:rPr/>
      </w:pPr>
      <w:bookmarkStart w:id="381" w:name="_Ref125368140"/>
      <w:bookmarkStart w:id="382" w:name="Прил08_ПорядокОценки"/>
      <w:bookmarkStart w:id="383" w:name="_Ref125368150"/>
      <w:bookmarkStart w:id="384" w:name="_Ref125368172"/>
      <w:bookmarkStart w:id="385" w:name="_Ref125369438"/>
      <w:bookmarkStart w:id="386" w:name="_Ref125361648"/>
      <w:bookmarkStart w:id="387" w:name="_Ref125361951"/>
      <w:bookmarkStart w:id="388" w:name="_Ref125366013"/>
      <w:bookmarkStart w:id="389" w:name="_Ref125366280"/>
      <w:bookmarkStart w:id="390" w:name="_Ref125366285"/>
      <w:bookmarkStart w:id="391" w:name="_Ref125368165"/>
      <w:bookmarkStart w:id="392" w:name="_Ref125368184"/>
      <w:bookmarkStart w:id="393" w:name="_Ref125368283"/>
      <w:bookmarkStart w:id="394" w:name="_Ref125368291"/>
      <w:bookmarkStart w:id="395" w:name="_Ref125368302"/>
      <w:bookmarkStart w:id="396" w:name="_Ref125368313"/>
      <w:bookmarkStart w:id="397" w:name="_Ref125368331"/>
      <w:bookmarkStart w:id="398" w:name="_Ref125369021"/>
      <w:bookmarkStart w:id="399" w:name="_Toc220501031"/>
      <w:bookmarkEnd w:id="382"/>
      <w:r>
        <w:rPr/>
        <w:t>Приложение № 8 – Порядок и критерии оценки и сопоставления заявок</w:t>
      </w:r>
      <w:bookmarkEnd w:id="381"/>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pPr>
        <w:pStyle w:val="Style24"/>
        <w:rPr/>
      </w:pPr>
      <w:bookmarkStart w:id="400" w:name="_Toc220501032"/>
      <w:r>
        <w:rPr/>
        <w:t>Порядок и критерии оценки и сопоставления заявок</w:t>
      </w:r>
      <w:bookmarkEnd w:id="400"/>
    </w:p>
    <w:p>
      <w:pPr>
        <w:pStyle w:val="Style25"/>
        <w:rPr/>
      </w:pPr>
      <w:r>
        <w:rPr/>
        <w:t>Расчет итоговой оценки предпочтительности каждой заявки, успешно прошедшей отборочную стадию (подраздел 4.9), осуществляется по следующим критериям оценки и в соответствии со следующим порядком оценки предпочтительности и сопоставления заявок:</w:t>
      </w:r>
    </w:p>
    <w:p>
      <w:pPr>
        <w:pStyle w:val="Style29"/>
        <w:rPr/>
      </w:pPr>
      <w:r>
        <w:rPr/>
      </w:r>
    </w:p>
    <w:tbl>
      <w:tblPr>
        <w:tblW w:w="15833" w:type="dxa"/>
        <w:jc w:val="left"/>
        <w:tblInd w:w="-431" w:type="dxa"/>
        <w:tblLayout w:type="fixed"/>
        <w:tblCellMar>
          <w:top w:w="0" w:type="dxa"/>
          <w:left w:w="108" w:type="dxa"/>
          <w:bottom w:w="0" w:type="dxa"/>
          <w:right w:w="108" w:type="dxa"/>
        </w:tblCellMar>
        <w:tblLook w:val="04a0" w:noHBand="0" w:noVBand="1" w:firstColumn="1" w:lastRow="0" w:lastColumn="0" w:firstRow="1"/>
      </w:tblPr>
      <w:tblGrid>
        <w:gridCol w:w="1798"/>
        <w:gridCol w:w="1219"/>
        <w:gridCol w:w="1343"/>
        <w:gridCol w:w="1054"/>
        <w:gridCol w:w="1115"/>
        <w:gridCol w:w="1672"/>
        <w:gridCol w:w="7631"/>
      </w:tblGrid>
      <w:tr>
        <w:trPr>
          <w:trHeight w:val="64" w:hRule="atLeast"/>
        </w:trPr>
        <w:tc>
          <w:tcPr>
            <w:tcW w:w="1798" w:type="dxa"/>
            <w:vMerge w:val="restart"/>
            <w:tcBorders>
              <w:top w:val="single" w:sz="4" w:space="0" w:color="00000A"/>
              <w:left w:val="single" w:sz="4" w:space="0" w:color="00000A"/>
              <w:bottom w:val="single" w:sz="4" w:space="0" w:color="00000A"/>
              <w:right w:val="single" w:sz="4" w:space="0" w:color="00000A"/>
            </w:tcBorders>
            <w:shd w:color="auto" w:fill="D5DCE4" w:val="clear"/>
          </w:tcPr>
          <w:p>
            <w:pPr>
              <w:pStyle w:val="Normal"/>
              <w:keepNext w:val="true"/>
              <w:widowControl w:val="false"/>
              <w:spacing w:before="120" w:after="0"/>
              <w:jc w:val="center"/>
              <w:rPr>
                <w:rFonts w:eastAsia="Calibri" w:cs="Calibri"/>
                <w:sz w:val="18"/>
                <w:szCs w:val="18"/>
              </w:rPr>
            </w:pPr>
            <w:r>
              <w:rPr>
                <w:rFonts w:eastAsia="Calibri" w:cs="Calibri"/>
                <w:sz w:val="18"/>
                <w:szCs w:val="18"/>
              </w:rPr>
              <w:t>Номер критерия оценки в структуре</w:t>
            </w:r>
          </w:p>
        </w:tc>
        <w:tc>
          <w:tcPr>
            <w:tcW w:w="1219" w:type="dxa"/>
            <w:vMerge w:val="restart"/>
            <w:tcBorders>
              <w:top w:val="single" w:sz="4" w:space="0" w:color="00000A"/>
              <w:left w:val="single" w:sz="4" w:space="0" w:color="00000A"/>
              <w:bottom w:val="single" w:sz="4" w:space="0" w:color="00000A"/>
              <w:right w:val="single" w:sz="4" w:space="0" w:color="00000A"/>
            </w:tcBorders>
            <w:shd w:color="auto" w:fill="D5DCE4" w:val="clear"/>
          </w:tcPr>
          <w:p>
            <w:pPr>
              <w:pStyle w:val="Normal"/>
              <w:keepNext w:val="true"/>
              <w:widowControl w:val="false"/>
              <w:spacing w:before="120" w:after="0"/>
              <w:jc w:val="center"/>
              <w:rPr>
                <w:rFonts w:eastAsia="Calibri" w:cs="Calibri"/>
                <w:sz w:val="18"/>
                <w:szCs w:val="18"/>
              </w:rPr>
            </w:pPr>
            <w:r>
              <w:rPr>
                <w:rFonts w:eastAsia="Calibri" w:cs="Calibri"/>
                <w:sz w:val="18"/>
                <w:szCs w:val="18"/>
              </w:rPr>
              <w:t>Направление оценки заявок</w:t>
            </w:r>
          </w:p>
        </w:tc>
        <w:tc>
          <w:tcPr>
            <w:tcW w:w="2397" w:type="dxa"/>
            <w:gridSpan w:val="2"/>
            <w:tcBorders>
              <w:top w:val="single" w:sz="4" w:space="0" w:color="00000A"/>
              <w:left w:val="single" w:sz="4" w:space="0" w:color="00000A"/>
              <w:bottom w:val="single" w:sz="4" w:space="0" w:color="00000A"/>
              <w:right w:val="single" w:sz="4" w:space="0" w:color="00000A"/>
            </w:tcBorders>
            <w:shd w:color="auto" w:fill="D5DCE4" w:val="clear"/>
          </w:tcPr>
          <w:p>
            <w:pPr>
              <w:pStyle w:val="Normal"/>
              <w:keepNext w:val="true"/>
              <w:widowControl w:val="false"/>
              <w:spacing w:before="120" w:after="0"/>
              <w:jc w:val="center"/>
              <w:rPr>
                <w:rFonts w:eastAsia="Calibri" w:cs="Calibri"/>
                <w:sz w:val="18"/>
                <w:szCs w:val="18"/>
              </w:rPr>
            </w:pPr>
            <w:r>
              <w:rPr>
                <w:rFonts w:eastAsia="Calibri" w:cs="Calibri"/>
                <w:sz w:val="18"/>
                <w:szCs w:val="18"/>
              </w:rPr>
              <w:t>Наименование критерия оценки</w:t>
            </w:r>
          </w:p>
        </w:tc>
        <w:tc>
          <w:tcPr>
            <w:tcW w:w="1115" w:type="dxa"/>
            <w:vMerge w:val="restart"/>
            <w:tcBorders>
              <w:top w:val="single" w:sz="4" w:space="0" w:color="00000A"/>
              <w:left w:val="single" w:sz="4" w:space="0" w:color="00000A"/>
              <w:bottom w:val="single" w:sz="4" w:space="0" w:color="00000A"/>
              <w:right w:val="single" w:sz="4" w:space="0" w:color="00000A"/>
            </w:tcBorders>
            <w:shd w:color="auto" w:fill="D5DCE4" w:val="clear"/>
          </w:tcPr>
          <w:p>
            <w:pPr>
              <w:pStyle w:val="Normal"/>
              <w:keepNext w:val="true"/>
              <w:widowControl w:val="false"/>
              <w:spacing w:before="120" w:after="0"/>
              <w:jc w:val="center"/>
              <w:rPr>
                <w:rFonts w:eastAsia="Calibri" w:cs="Calibri"/>
                <w:sz w:val="18"/>
                <w:szCs w:val="18"/>
              </w:rPr>
            </w:pPr>
            <w:r>
              <w:rPr>
                <w:rFonts w:eastAsia="Calibri" w:cs="Calibri"/>
                <w:sz w:val="18"/>
                <w:szCs w:val="18"/>
              </w:rPr>
              <w:t>Значимость критерия оценки</w:t>
            </w:r>
          </w:p>
        </w:tc>
        <w:tc>
          <w:tcPr>
            <w:tcW w:w="1672" w:type="dxa"/>
            <w:vMerge w:val="restart"/>
            <w:tcBorders>
              <w:top w:val="single" w:sz="4" w:space="0" w:color="00000A"/>
              <w:left w:val="single" w:sz="4" w:space="0" w:color="00000A"/>
              <w:bottom w:val="single" w:sz="4" w:space="0" w:color="00000A"/>
              <w:right w:val="single" w:sz="4" w:space="0" w:color="00000A"/>
            </w:tcBorders>
            <w:shd w:color="auto" w:fill="D5DCE4" w:val="clear"/>
          </w:tcPr>
          <w:p>
            <w:pPr>
              <w:pStyle w:val="Normal"/>
              <w:keepNext w:val="true"/>
              <w:widowControl w:val="false"/>
              <w:spacing w:before="120" w:after="0"/>
              <w:jc w:val="center"/>
              <w:rPr>
                <w:rFonts w:eastAsia="Calibri" w:cs="Calibri"/>
                <w:sz w:val="18"/>
                <w:szCs w:val="18"/>
              </w:rPr>
            </w:pPr>
            <w:r>
              <w:rPr>
                <w:rFonts w:eastAsia="Calibri" w:cs="Calibri"/>
                <w:sz w:val="18"/>
                <w:szCs w:val="18"/>
              </w:rPr>
              <w:t>Содержание частного критерия оценки</w:t>
            </w:r>
          </w:p>
        </w:tc>
        <w:tc>
          <w:tcPr>
            <w:tcW w:w="7631" w:type="dxa"/>
            <w:vMerge w:val="restart"/>
            <w:tcBorders>
              <w:top w:val="single" w:sz="4" w:space="0" w:color="00000A"/>
              <w:left w:val="single" w:sz="4" w:space="0" w:color="00000A"/>
              <w:bottom w:val="single" w:sz="4" w:space="0" w:color="00000A"/>
              <w:right w:val="single" w:sz="4" w:space="0" w:color="00000A"/>
            </w:tcBorders>
            <w:shd w:color="auto" w:fill="D5DCE4" w:val="clear"/>
          </w:tcPr>
          <w:p>
            <w:pPr>
              <w:pStyle w:val="Normal"/>
              <w:keepNext w:val="true"/>
              <w:widowControl w:val="false"/>
              <w:spacing w:before="120" w:after="0"/>
              <w:jc w:val="center"/>
              <w:rPr>
                <w:rFonts w:eastAsia="Calibri" w:cs="Calibri"/>
                <w:sz w:val="18"/>
                <w:szCs w:val="18"/>
              </w:rPr>
            </w:pPr>
            <w:r>
              <w:rPr>
                <w:rFonts w:eastAsia="Calibri" w:cs="Calibri"/>
                <w:sz w:val="18"/>
                <w:szCs w:val="18"/>
              </w:rPr>
              <w:t>Расчет оценки предпочтительности заявки</w:t>
            </w:r>
          </w:p>
        </w:tc>
      </w:tr>
      <w:tr>
        <w:trPr/>
        <w:tc>
          <w:tcPr>
            <w:tcW w:w="1798"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120" w:after="0"/>
              <w:rPr>
                <w:rFonts w:eastAsia="Calibri" w:cs="Calibri"/>
                <w:sz w:val="18"/>
                <w:szCs w:val="18"/>
              </w:rPr>
            </w:pPr>
            <w:r>
              <w:rPr>
                <w:rFonts w:eastAsia="Calibri" w:cs="Calibri"/>
                <w:sz w:val="18"/>
                <w:szCs w:val="18"/>
              </w:rPr>
            </w:r>
          </w:p>
        </w:tc>
        <w:tc>
          <w:tcPr>
            <w:tcW w:w="1219"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120" w:after="0"/>
              <w:rPr>
                <w:rFonts w:eastAsia="Calibri" w:cs="Calibri"/>
                <w:sz w:val="18"/>
                <w:szCs w:val="18"/>
              </w:rPr>
            </w:pPr>
            <w:r>
              <w:rPr>
                <w:rFonts w:eastAsia="Calibri" w:cs="Calibri"/>
                <w:sz w:val="18"/>
                <w:szCs w:val="18"/>
              </w:rPr>
            </w:r>
          </w:p>
        </w:tc>
        <w:tc>
          <w:tcPr>
            <w:tcW w:w="1343" w:type="dxa"/>
            <w:tcBorders>
              <w:top w:val="single" w:sz="4" w:space="0" w:color="00000A"/>
              <w:left w:val="single" w:sz="4" w:space="0" w:color="00000A"/>
              <w:bottom w:val="single" w:sz="4" w:space="0" w:color="00000A"/>
              <w:right w:val="single" w:sz="4" w:space="0" w:color="00000A"/>
            </w:tcBorders>
            <w:shd w:color="auto" w:fill="D5DCE4" w:val="clear"/>
          </w:tcPr>
          <w:p>
            <w:pPr>
              <w:pStyle w:val="Normal"/>
              <w:keepNext w:val="true"/>
              <w:widowControl w:val="false"/>
              <w:spacing w:before="120" w:after="0"/>
              <w:jc w:val="center"/>
              <w:rPr>
                <w:rFonts w:eastAsia="Calibri" w:cs="Calibri"/>
                <w:sz w:val="18"/>
                <w:szCs w:val="18"/>
              </w:rPr>
            </w:pPr>
            <w:r>
              <w:rPr>
                <w:rFonts w:eastAsia="Calibri" w:cs="Calibri"/>
                <w:sz w:val="18"/>
                <w:szCs w:val="18"/>
              </w:rPr>
              <w:t>критерий оценки первого уровня</w:t>
            </w:r>
          </w:p>
        </w:tc>
        <w:tc>
          <w:tcPr>
            <w:tcW w:w="1054" w:type="dxa"/>
            <w:tcBorders>
              <w:top w:val="single" w:sz="4" w:space="0" w:color="00000A"/>
              <w:left w:val="single" w:sz="4" w:space="0" w:color="00000A"/>
              <w:bottom w:val="single" w:sz="4" w:space="0" w:color="00000A"/>
              <w:right w:val="single" w:sz="4" w:space="0" w:color="00000A"/>
            </w:tcBorders>
            <w:shd w:color="auto" w:fill="D5DCE4" w:val="clear"/>
          </w:tcPr>
          <w:p>
            <w:pPr>
              <w:pStyle w:val="Normal"/>
              <w:keepNext w:val="true"/>
              <w:widowControl w:val="false"/>
              <w:spacing w:before="120" w:after="0"/>
              <w:jc w:val="center"/>
              <w:rPr>
                <w:rFonts w:eastAsia="Calibri" w:cs="Calibri"/>
                <w:sz w:val="18"/>
                <w:szCs w:val="18"/>
              </w:rPr>
            </w:pPr>
            <w:r>
              <w:rPr>
                <w:rFonts w:eastAsia="Calibri" w:cs="Calibri"/>
                <w:sz w:val="18"/>
                <w:szCs w:val="18"/>
              </w:rPr>
              <w:t>критерий оценки второго уровня</w:t>
            </w:r>
          </w:p>
        </w:tc>
        <w:tc>
          <w:tcPr>
            <w:tcW w:w="1115"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120" w:after="0"/>
              <w:rPr>
                <w:rFonts w:eastAsia="Calibri" w:cs="Calibri"/>
                <w:sz w:val="18"/>
                <w:szCs w:val="18"/>
              </w:rPr>
            </w:pPr>
            <w:r>
              <w:rPr>
                <w:rFonts w:eastAsia="Calibri" w:cs="Calibri"/>
                <w:sz w:val="18"/>
                <w:szCs w:val="18"/>
              </w:rPr>
            </w:r>
          </w:p>
        </w:tc>
        <w:tc>
          <w:tcPr>
            <w:tcW w:w="1672"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120" w:after="0"/>
              <w:rPr>
                <w:rFonts w:eastAsia="Calibri" w:cs="Calibri"/>
                <w:sz w:val="18"/>
                <w:szCs w:val="18"/>
              </w:rPr>
            </w:pPr>
            <w:r>
              <w:rPr>
                <w:rFonts w:eastAsia="Calibri" w:cs="Calibri"/>
                <w:sz w:val="18"/>
                <w:szCs w:val="18"/>
              </w:rPr>
            </w:r>
          </w:p>
        </w:tc>
        <w:tc>
          <w:tcPr>
            <w:tcW w:w="7631"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120" w:after="0"/>
              <w:rPr>
                <w:rFonts w:eastAsia="Calibri" w:cs="Calibri"/>
                <w:sz w:val="18"/>
                <w:szCs w:val="18"/>
              </w:rPr>
            </w:pPr>
            <w:r>
              <w:rPr>
                <w:rFonts w:eastAsia="Calibri" w:cs="Calibri"/>
                <w:sz w:val="18"/>
                <w:szCs w:val="18"/>
              </w:rPr>
            </w:r>
          </w:p>
        </w:tc>
      </w:tr>
      <w:tr>
        <w:trPr/>
        <w:tc>
          <w:tcPr>
            <w:tcW w:w="179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120" w:after="0"/>
              <w:jc w:val="center"/>
              <w:rPr>
                <w:rFonts w:eastAsia="Calibri" w:cs="Calibri"/>
                <w:sz w:val="18"/>
                <w:szCs w:val="18"/>
              </w:rPr>
            </w:pPr>
            <w:r>
              <w:rPr>
                <w:rFonts w:eastAsia="Calibri" w:cs="Calibri"/>
                <w:sz w:val="18"/>
                <w:szCs w:val="18"/>
              </w:rPr>
              <w:t>1</w:t>
            </w:r>
          </w:p>
        </w:tc>
        <w:tc>
          <w:tcPr>
            <w:tcW w:w="121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120" w:after="0"/>
              <w:jc w:val="center"/>
              <w:rPr>
                <w:rFonts w:eastAsia="Calibri" w:cs="Calibri"/>
                <w:sz w:val="18"/>
                <w:szCs w:val="18"/>
              </w:rPr>
            </w:pPr>
            <w:r>
              <w:rPr>
                <w:rFonts w:eastAsia="Calibri" w:cs="Calibri"/>
                <w:sz w:val="18"/>
                <w:szCs w:val="18"/>
              </w:rPr>
              <w:t>Цена</w:t>
            </w:r>
          </w:p>
        </w:tc>
        <w:tc>
          <w:tcPr>
            <w:tcW w:w="134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120" w:after="0"/>
              <w:jc w:val="center"/>
              <w:rPr>
                <w:rFonts w:eastAsia="Calibri" w:cs="Calibri"/>
                <w:i/>
                <w:i/>
                <w:sz w:val="18"/>
                <w:szCs w:val="18"/>
                <w:highlight w:val="yellow"/>
              </w:rPr>
            </w:pPr>
            <w:r>
              <w:rPr>
                <w:rFonts w:eastAsia="Calibri" w:cs="Calibri"/>
                <w:sz w:val="18"/>
                <w:szCs w:val="18"/>
              </w:rPr>
              <w:t>Цена договора</w:t>
            </w:r>
          </w:p>
        </w:tc>
        <w:tc>
          <w:tcPr>
            <w:tcW w:w="105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120" w:after="0"/>
              <w:ind w:left="-112" w:hanging="0"/>
              <w:jc w:val="center"/>
              <w:rPr>
                <w:rFonts w:eastAsia="Calibri" w:cs="Calibri"/>
                <w:sz w:val="18"/>
                <w:szCs w:val="18"/>
              </w:rPr>
            </w:pPr>
            <w:r>
              <w:rPr>
                <w:rFonts w:eastAsia="Calibri" w:cs="Calibri"/>
                <w:sz w:val="18"/>
                <w:szCs w:val="18"/>
              </w:rPr>
              <w:t>Отсутствует</w:t>
            </w:r>
          </w:p>
        </w:tc>
        <w:tc>
          <w:tcPr>
            <w:tcW w:w="111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120" w:after="0"/>
              <w:ind w:left="-110" w:hanging="0"/>
              <w:jc w:val="center"/>
              <w:rPr>
                <w:rFonts w:eastAsia="Calibri" w:cs="Calibri"/>
                <w:sz w:val="18"/>
                <w:szCs w:val="18"/>
              </w:rPr>
            </w:pPr>
            <w:r>
              <w:rPr>
                <w:rFonts w:eastAsia="Calibri" w:cs="Calibri"/>
                <w:sz w:val="18"/>
                <w:szCs w:val="18"/>
              </w:rPr>
              <w:t xml:space="preserve">80% </w:t>
            </w:r>
          </w:p>
          <w:p>
            <w:pPr>
              <w:pStyle w:val="Normal"/>
              <w:widowControl w:val="false"/>
              <w:ind w:left="-110" w:hanging="0"/>
              <w:jc w:val="center"/>
              <w:rPr>
                <w:rFonts w:eastAsia="Calibri" w:cs="Calibri"/>
                <w:sz w:val="18"/>
                <w:szCs w:val="18"/>
              </w:rPr>
            </w:pPr>
            <w:r>
              <w:rPr>
                <w:rFonts w:eastAsia="Calibri" w:cs="Calibri"/>
                <w:sz w:val="18"/>
                <w:szCs w:val="18"/>
              </w:rPr>
              <w:t>(B</w:t>
            </w:r>
            <w:r>
              <w:rPr>
                <w:rFonts w:eastAsia="Calibri" w:cs="Calibri"/>
                <w:sz w:val="18"/>
                <w:szCs w:val="18"/>
                <w:vertAlign w:val="subscript"/>
              </w:rPr>
              <w:t>1</w:t>
            </w:r>
            <w:r>
              <w:rPr>
                <w:rFonts w:eastAsia="Calibri" w:cs="Calibri"/>
                <w:sz w:val="18"/>
                <w:szCs w:val="18"/>
              </w:rPr>
              <w:t xml:space="preserve"> = 0,80)</w:t>
            </w:r>
          </w:p>
        </w:tc>
        <w:tc>
          <w:tcPr>
            <w:tcW w:w="1672"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120" w:after="0"/>
              <w:ind w:left="-112" w:hanging="0"/>
              <w:jc w:val="center"/>
              <w:rPr>
                <w:rFonts w:eastAsia="Calibri" w:cs="Calibri"/>
                <w:sz w:val="18"/>
                <w:szCs w:val="18"/>
                <w:highlight w:val="yellow"/>
              </w:rPr>
            </w:pPr>
            <w:r>
              <w:rPr>
                <w:rFonts w:eastAsia="Calibri" w:cs="Calibri"/>
                <w:sz w:val="18"/>
                <w:szCs w:val="18"/>
              </w:rPr>
              <w:t>Чем меньше цена заявки  (оферты), тем выше предпочтительность</w:t>
            </w:r>
          </w:p>
        </w:tc>
        <w:tc>
          <w:tcPr>
            <w:tcW w:w="763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numPr>
                <w:ilvl w:val="7"/>
                <w:numId w:val="14"/>
              </w:numPr>
              <w:tabs>
                <w:tab w:val="clear" w:pos="708"/>
                <w:tab w:val="left" w:pos="360" w:leader="none"/>
              </w:tabs>
              <w:spacing w:lineRule="auto" w:line="259" w:before="0" w:after="160"/>
              <w:contextualSpacing/>
              <w:rPr>
                <w:rFonts w:eastAsia="Calibri" w:cs="Times New Roman"/>
                <w:sz w:val="18"/>
                <w:szCs w:val="18"/>
              </w:rPr>
            </w:pPr>
            <w:r>
              <w:rPr>
                <w:rFonts w:eastAsia="Calibri" w:cs="Times New Roman"/>
                <w:sz w:val="18"/>
                <w:szCs w:val="18"/>
              </w:rPr>
              <w:t>Расчет оценки предпочтительности по частному критерию по методу «Математическая формула, задающая «функцию ценности»»:</w:t>
            </w:r>
          </w:p>
          <w:p>
            <w:pPr>
              <w:pStyle w:val="Normal"/>
              <w:widowControl w:val="false"/>
              <w:spacing w:lineRule="exact" w:line="360" w:before="240" w:after="240"/>
              <w:ind w:left="1701" w:hanging="0"/>
              <w:rPr>
                <w:rFonts w:eastAsia="Calibri" w:cs="Calibri"/>
              </w:rPr>
            </w:pPr>
            <w:r>
              <w:fldChar w:fldCharType="begin"/>
            </w:r>
            <w:r>
              <w:rPr/>
              <w:instrText xml:space="preserve">QUOTE</w:instrText>
            </w:r>
            <w:r>
              <w:rPr/>
            </w:r>
            <w:r>
              <w:rPr/>
              <w:fldChar w:fldCharType="separate"/>
            </w:r>
            <w:r>
              <w:rPr/>
            </w:r>
            <w:r>
              <w:rPr/>
            </w:r>
            <w:r>
              <w:rPr/>
              <w:fldChar w:fldCharType="end"/>
            </w:r>
            <w:bookmarkStart w:id="401" w:name="__Fieldmark__33730_897612032"/>
            <w:bookmarkEnd w:id="401"/>
            <w:r>
              <w:rPr/>
              <w:drawing>
                <wp:inline distT="0" distB="0" distL="0" distR="0">
                  <wp:extent cx="915035" cy="309245"/>
                  <wp:effectExtent l="0" t="0" r="0" b="0"/>
                  <wp:docPr id="1" name="Рисунок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3" descr=""/>
                          <pic:cNvPicPr>
                            <a:picLocks noChangeAspect="1" noChangeArrowheads="1"/>
                          </pic:cNvPicPr>
                        </pic:nvPicPr>
                        <pic:blipFill>
                          <a:blip r:embed="rId36"/>
                          <a:stretch>
                            <a:fillRect/>
                          </a:stretch>
                        </pic:blipFill>
                        <pic:spPr bwMode="auto">
                          <a:xfrm>
                            <a:off x="0" y="0"/>
                            <a:ext cx="915035" cy="309245"/>
                          </a:xfrm>
                          <a:prstGeom prst="rect">
                            <a:avLst/>
                          </a:prstGeom>
                        </pic:spPr>
                      </pic:pic>
                    </a:graphicData>
                  </a:graphic>
                </wp:inline>
              </w:drawing>
            </w:r>
            <w:r>
              <w:rPr>
                <w:rFonts w:eastAsia="Calibri" w:cs="Calibri"/>
              </w:rPr>
              <w:t>X</w:t>
            </w:r>
          </w:p>
          <w:p>
            <w:pPr>
              <w:pStyle w:val="Normal"/>
              <w:widowControl w:val="false"/>
              <w:numPr>
                <w:ilvl w:val="7"/>
                <w:numId w:val="14"/>
              </w:numPr>
              <w:tabs>
                <w:tab w:val="clear" w:pos="708"/>
                <w:tab w:val="left" w:pos="360" w:leader="none"/>
              </w:tabs>
              <w:spacing w:lineRule="auto" w:line="259" w:before="0" w:after="160"/>
              <w:ind w:right="462" w:hanging="0"/>
              <w:contextualSpacing/>
              <w:rPr>
                <w:rFonts w:eastAsia="Calibri" w:cs="Times New Roman"/>
                <w:sz w:val="18"/>
                <w:szCs w:val="18"/>
              </w:rPr>
            </w:pPr>
            <w:r>
              <w:rPr>
                <w:rFonts w:eastAsia="Calibri" w:cs="Times New Roman"/>
                <w:sz w:val="18"/>
                <w:szCs w:val="18"/>
              </w:rPr>
              <w:t>где:</w:t>
            </w:r>
          </w:p>
          <w:p>
            <w:pPr>
              <w:pStyle w:val="Normal"/>
              <w:widowControl w:val="false"/>
              <w:numPr>
                <w:ilvl w:val="7"/>
                <w:numId w:val="14"/>
              </w:numPr>
              <w:tabs>
                <w:tab w:val="clear" w:pos="708"/>
                <w:tab w:val="left" w:pos="360" w:leader="none"/>
              </w:tabs>
              <w:spacing w:lineRule="auto" w:line="259" w:before="0" w:after="160"/>
              <w:contextualSpacing/>
              <w:rPr>
                <w:rFonts w:eastAsia="Calibri" w:cs="Times New Roman"/>
                <w:sz w:val="18"/>
                <w:szCs w:val="18"/>
              </w:rPr>
            </w:pPr>
            <w:r>
              <w:rPr>
                <w:rFonts w:eastAsia="Calibri" w:cs="Times New Roman"/>
                <w:sz w:val="18"/>
                <w:szCs w:val="18"/>
              </w:rPr>
              <w:t>Б</w:t>
            </w:r>
            <w:r>
              <w:rPr>
                <w:rFonts w:eastAsia="Calibri" w:cs="Times New Roman"/>
                <w:sz w:val="18"/>
                <w:szCs w:val="18"/>
                <w:vertAlign w:val="subscript"/>
              </w:rPr>
              <w:t>1</w:t>
            </w:r>
            <w:r>
              <w:rPr>
                <w:rFonts w:eastAsia="Calibri" w:cs="Times New Roman"/>
                <w:sz w:val="18"/>
                <w:szCs w:val="18"/>
              </w:rPr>
              <w:t xml:space="preserve"> – рассчитанная оценка предпочтительности по частному критерию оценки в баллах;</w:t>
            </w:r>
          </w:p>
          <w:p>
            <w:pPr>
              <w:pStyle w:val="Normal"/>
              <w:widowControl w:val="false"/>
              <w:numPr>
                <w:ilvl w:val="7"/>
                <w:numId w:val="14"/>
              </w:numPr>
              <w:tabs>
                <w:tab w:val="clear" w:pos="708"/>
                <w:tab w:val="left" w:pos="360" w:leader="none"/>
              </w:tabs>
              <w:spacing w:lineRule="auto" w:line="259" w:before="0" w:after="160"/>
              <w:contextualSpacing/>
              <w:rPr>
                <w:rFonts w:eastAsia="Calibri" w:cs="Times New Roman"/>
                <w:sz w:val="18"/>
                <w:szCs w:val="18"/>
              </w:rPr>
            </w:pPr>
            <w:r>
              <w:rPr>
                <w:rFonts w:eastAsia="Calibri" w:cs="Times New Roman"/>
                <w:sz w:val="18"/>
                <w:szCs w:val="18"/>
              </w:rPr>
              <w:t>ЦЕНА</w:t>
            </w:r>
            <w:r>
              <w:rPr>
                <w:rFonts w:eastAsia="Calibri" w:cs="Times New Roman"/>
                <w:i/>
                <w:iCs/>
                <w:sz w:val="18"/>
                <w:szCs w:val="18"/>
                <w:vertAlign w:val="subscript"/>
                <w:lang w:val="en-US"/>
              </w:rPr>
              <w:t>i</w:t>
            </w:r>
            <w:r>
              <w:rPr>
                <w:rFonts w:eastAsia="Calibri" w:cs="Times New Roman"/>
                <w:sz w:val="18"/>
                <w:szCs w:val="18"/>
              </w:rPr>
              <w:t>  – цена коммерческого предложения (без НДС), указанная в заявке допущенного участника;</w:t>
            </w:r>
          </w:p>
          <w:p>
            <w:pPr>
              <w:pStyle w:val="Normal"/>
              <w:widowControl w:val="false"/>
              <w:numPr>
                <w:ilvl w:val="7"/>
                <w:numId w:val="14"/>
              </w:numPr>
              <w:tabs>
                <w:tab w:val="clear" w:pos="708"/>
                <w:tab w:val="left" w:pos="360" w:leader="none"/>
              </w:tabs>
              <w:spacing w:lineRule="auto" w:line="259" w:before="0" w:after="160"/>
              <w:contextualSpacing/>
              <w:rPr>
                <w:rFonts w:eastAsia="Calibri" w:cs="Times New Roman"/>
                <w:sz w:val="18"/>
                <w:szCs w:val="18"/>
              </w:rPr>
            </w:pPr>
            <w:r>
              <w:rPr>
                <w:rFonts w:eastAsia="Calibri" w:cs="Times New Roman"/>
                <w:sz w:val="18"/>
                <w:szCs w:val="18"/>
              </w:rPr>
              <w:t>ЦЕНА</w:t>
            </w:r>
            <w:r>
              <w:rPr>
                <w:rFonts w:eastAsia="Calibri" w:cs="Times New Roman"/>
                <w:sz w:val="18"/>
                <w:szCs w:val="18"/>
                <w:vertAlign w:val="subscript"/>
                <w:lang w:val="en-US"/>
              </w:rPr>
              <w:t>min</w:t>
            </w:r>
            <w:r>
              <w:rPr>
                <w:rFonts w:eastAsia="Calibri" w:cs="Times New Roman"/>
                <w:sz w:val="18"/>
                <w:szCs w:val="18"/>
                <w:vertAlign w:val="subscript"/>
              </w:rPr>
              <w:t xml:space="preserve"> </w:t>
            </w:r>
            <w:r>
              <w:rPr>
                <w:rFonts w:eastAsia="Calibri" w:cs="Times New Roman"/>
                <w:sz w:val="18"/>
                <w:szCs w:val="18"/>
              </w:rPr>
              <w:t>– минимальная цена коммерческого предложения (без НДС) среди всех допущенных заявок участников;</w:t>
            </w:r>
          </w:p>
          <w:p>
            <w:pPr>
              <w:pStyle w:val="Normal"/>
              <w:widowControl w:val="false"/>
              <w:numPr>
                <w:ilvl w:val="7"/>
                <w:numId w:val="14"/>
              </w:numPr>
              <w:tabs>
                <w:tab w:val="clear" w:pos="708"/>
                <w:tab w:val="left" w:pos="360" w:leader="none"/>
              </w:tabs>
              <w:spacing w:lineRule="auto" w:line="259" w:before="0" w:after="160"/>
              <w:contextualSpacing/>
              <w:rPr>
                <w:rFonts w:eastAsia="Calibri" w:cs="Times New Roman"/>
                <w:sz w:val="18"/>
                <w:szCs w:val="18"/>
              </w:rPr>
            </w:pPr>
            <w:r>
              <w:rPr>
                <w:rFonts w:eastAsia="Calibri" w:cs="Times New Roman"/>
                <w:sz w:val="18"/>
                <w:szCs w:val="18"/>
              </w:rPr>
              <w:t>Ш – максимально возможный балл (максимальная возможная оценка предпочтительности) по установленной в документации о закупке шкале оценок (Ш = 5).</w:t>
            </w:r>
          </w:p>
          <w:p>
            <w:pPr>
              <w:pStyle w:val="Normal"/>
              <w:widowControl w:val="false"/>
              <w:numPr>
                <w:ilvl w:val="7"/>
                <w:numId w:val="14"/>
              </w:numPr>
              <w:tabs>
                <w:tab w:val="clear" w:pos="708"/>
                <w:tab w:val="left" w:pos="360" w:leader="none"/>
              </w:tabs>
              <w:spacing w:lineRule="auto" w:line="259" w:before="0" w:after="160"/>
              <w:contextualSpacing/>
              <w:rPr>
                <w:rFonts w:eastAsia="Calibri" w:cs="Times New Roman"/>
                <w:sz w:val="18"/>
                <w:szCs w:val="18"/>
              </w:rPr>
            </w:pPr>
            <w:r>
              <w:rPr>
                <w:rFonts w:eastAsia="Calibri" w:cs="Times New Roman"/>
                <w:sz w:val="18"/>
                <w:szCs w:val="18"/>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pPr>
              <w:pStyle w:val="Normal"/>
              <w:widowControl w:val="false"/>
              <w:numPr>
                <w:ilvl w:val="7"/>
                <w:numId w:val="14"/>
              </w:numPr>
              <w:tabs>
                <w:tab w:val="clear" w:pos="708"/>
                <w:tab w:val="left" w:pos="360" w:leader="none"/>
              </w:tabs>
              <w:spacing w:lineRule="auto" w:line="259" w:before="0" w:after="160"/>
              <w:contextualSpacing/>
              <w:rPr>
                <w:rFonts w:eastAsia="Calibri" w:cs="Times New Roman"/>
                <w:sz w:val="18"/>
                <w:szCs w:val="18"/>
              </w:rPr>
            </w:pPr>
            <w:r>
              <w:rPr>
                <w:rFonts w:eastAsia="Calibri" w:cs="Times New Roman"/>
                <w:sz w:val="18"/>
                <w:szCs w:val="18"/>
              </w:rPr>
              <w:t>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w:t>
            </w:r>
          </w:p>
          <w:p>
            <w:pPr>
              <w:pStyle w:val="Normal"/>
              <w:widowControl w:val="false"/>
              <w:numPr>
                <w:ilvl w:val="7"/>
                <w:numId w:val="14"/>
              </w:numPr>
              <w:tabs>
                <w:tab w:val="clear" w:pos="708"/>
                <w:tab w:val="left" w:pos="360" w:leader="none"/>
              </w:tabs>
              <w:spacing w:lineRule="auto" w:line="259" w:before="0" w:after="160"/>
              <w:contextualSpacing/>
              <w:rPr>
                <w:rFonts w:eastAsia="Calibri" w:cs="Times New Roman"/>
                <w:sz w:val="18"/>
                <w:szCs w:val="18"/>
              </w:rPr>
            </w:pPr>
            <w:r>
              <w:rPr>
                <w:rFonts w:eastAsia="Calibri" w:cs="Times New Roman"/>
                <w:sz w:val="18"/>
                <w:szCs w:val="18"/>
              </w:rPr>
              <w:t>Шкала оценок от 0 до 5 баллов.</w:t>
            </w:r>
          </w:p>
        </w:tc>
      </w:tr>
      <w:tr>
        <w:trPr/>
        <w:tc>
          <w:tcPr>
            <w:tcW w:w="179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120" w:after="0"/>
              <w:jc w:val="center"/>
              <w:rPr>
                <w:rFonts w:eastAsia="Calibri" w:cs="Calibri"/>
                <w:sz w:val="18"/>
                <w:szCs w:val="18"/>
              </w:rPr>
            </w:pPr>
            <w:r>
              <w:rPr>
                <w:rFonts w:eastAsia="Calibri" w:cs="Calibri"/>
                <w:sz w:val="18"/>
                <w:szCs w:val="18"/>
              </w:rPr>
              <w:t>2</w:t>
            </w:r>
          </w:p>
        </w:tc>
        <w:tc>
          <w:tcPr>
            <w:tcW w:w="121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120" w:after="0"/>
              <w:jc w:val="center"/>
              <w:rPr>
                <w:rFonts w:eastAsia="Calibri" w:cs="Calibri"/>
                <w:sz w:val="18"/>
                <w:szCs w:val="18"/>
              </w:rPr>
            </w:pPr>
            <w:r>
              <w:rPr>
                <w:rFonts w:eastAsia="Calibri" w:cs="Calibri"/>
                <w:sz w:val="18"/>
                <w:szCs w:val="18"/>
              </w:rPr>
              <w:t>Тех</w:t>
            </w:r>
          </w:p>
        </w:tc>
        <w:tc>
          <w:tcPr>
            <w:tcW w:w="134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120" w:after="0"/>
              <w:jc w:val="center"/>
              <w:rPr>
                <w:rFonts w:eastAsia="Calibri" w:cs="Calibri"/>
                <w:sz w:val="18"/>
                <w:szCs w:val="18"/>
              </w:rPr>
            </w:pPr>
            <w:r>
              <w:rPr>
                <w:rFonts w:eastAsia="Calibri" w:cs="Calibri"/>
                <w:bCs/>
                <w:iCs/>
                <w:sz w:val="18"/>
                <w:szCs w:val="18"/>
              </w:rPr>
              <w:t xml:space="preserve">Квалификация </w:t>
            </w:r>
          </w:p>
        </w:tc>
        <w:tc>
          <w:tcPr>
            <w:tcW w:w="105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120" w:after="0"/>
              <w:ind w:left="-112" w:hanging="0"/>
              <w:jc w:val="center"/>
              <w:rPr>
                <w:rFonts w:eastAsia="Calibri" w:cs="Calibri"/>
                <w:sz w:val="18"/>
                <w:szCs w:val="18"/>
              </w:rPr>
            </w:pPr>
            <w:r>
              <w:rPr>
                <w:rFonts w:eastAsia="Calibri" w:cs="Calibri"/>
                <w:sz w:val="18"/>
                <w:szCs w:val="18"/>
              </w:rPr>
              <w:t>Отсутствует</w:t>
            </w:r>
          </w:p>
        </w:tc>
        <w:tc>
          <w:tcPr>
            <w:tcW w:w="111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120" w:after="0"/>
              <w:ind w:left="-110" w:hanging="0"/>
              <w:jc w:val="center"/>
              <w:rPr>
                <w:rFonts w:eastAsia="Calibri" w:cs="Calibri"/>
                <w:sz w:val="18"/>
                <w:szCs w:val="18"/>
              </w:rPr>
            </w:pPr>
            <w:r>
              <w:rPr>
                <w:rFonts w:eastAsia="Calibri" w:cs="Calibri"/>
                <w:sz w:val="18"/>
                <w:szCs w:val="18"/>
              </w:rPr>
              <w:t>20%</w:t>
              <w:br/>
              <w:t>(В</w:t>
            </w:r>
            <w:r>
              <w:rPr>
                <w:rFonts w:eastAsia="Calibri" w:cs="Calibri"/>
                <w:sz w:val="18"/>
                <w:szCs w:val="18"/>
                <w:vertAlign w:val="subscript"/>
              </w:rPr>
              <w:t>2</w:t>
            </w:r>
            <w:r>
              <w:rPr>
                <w:rFonts w:eastAsia="Calibri" w:cs="Calibri"/>
                <w:sz w:val="18"/>
                <w:szCs w:val="18"/>
              </w:rPr>
              <w:t xml:space="preserve"> = 0,2)</w:t>
            </w:r>
          </w:p>
        </w:tc>
        <w:tc>
          <w:tcPr>
            <w:tcW w:w="1672"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120" w:after="0"/>
              <w:ind w:left="-112" w:hanging="0"/>
              <w:jc w:val="center"/>
              <w:rPr>
                <w:rFonts w:eastAsia="Calibri" w:cs="Calibri"/>
                <w:sz w:val="18"/>
                <w:szCs w:val="18"/>
              </w:rPr>
            </w:pPr>
            <w:r>
              <w:rPr>
                <w:rFonts w:eastAsia="Calibri" w:cs="Calibri"/>
                <w:bCs/>
                <w:iCs/>
                <w:sz w:val="18"/>
                <w:szCs w:val="18"/>
              </w:rPr>
              <w:t xml:space="preserve">Отношение Участника закупки к изготовителю предлагаемой продукции </w:t>
            </w:r>
          </w:p>
        </w:tc>
        <w:tc>
          <w:tcPr>
            <w:tcW w:w="763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96" w:after="96"/>
              <w:jc w:val="both"/>
              <w:rPr>
                <w:rFonts w:eastAsia="Calibri" w:cs="Calibri"/>
                <w:sz w:val="18"/>
                <w:szCs w:val="18"/>
              </w:rPr>
            </w:pPr>
            <w:r>
              <w:rPr>
                <w:rFonts w:eastAsia="Calibri" w:cs="Calibri"/>
                <w:sz w:val="18"/>
                <w:szCs w:val="18"/>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pPr>
              <w:pStyle w:val="Normal"/>
              <w:widowControl w:val="false"/>
              <w:spacing w:before="40" w:after="40"/>
              <w:jc w:val="both"/>
              <w:rPr>
                <w:rFonts w:eastAsia="Calibri" w:cs="Calibri"/>
                <w:sz w:val="18"/>
                <w:szCs w:val="18"/>
              </w:rPr>
            </w:pPr>
            <w:r>
              <w:rPr>
                <w:rFonts w:eastAsia="Calibri" w:cs="Calibri"/>
                <w:sz w:val="18"/>
                <w:szCs w:val="18"/>
              </w:rPr>
              <w:t xml:space="preserve">Порядок осуществления оценки (значение оцениваемого параметра) - в зависимости от предоставленных в </w:t>
            </w:r>
            <w:r>
              <w:rPr>
                <w:rFonts w:eastAsia="Calibri" w:cs="Calibri"/>
                <w:i/>
                <w:sz w:val="18"/>
                <w:szCs w:val="18"/>
              </w:rPr>
              <w:t>i</w:t>
            </w:r>
            <w:r>
              <w:rPr>
                <w:rFonts w:eastAsia="Calibri" w:cs="Calibri"/>
                <w:sz w:val="18"/>
                <w:szCs w:val="18"/>
              </w:rPr>
              <w:t>-ой заявке копий документов, подтверждающих статус Участника</w:t>
            </w:r>
            <w:r>
              <w:rPr>
                <w:rStyle w:val="FootnoteReference"/>
                <w:rFonts w:eastAsia="Calibri" w:cs="Calibri"/>
                <w:sz w:val="18"/>
                <w:szCs w:val="18"/>
                <w:vertAlign w:val="superscript"/>
              </w:rPr>
              <w:footnoteReference w:id="16"/>
            </w:r>
            <w:r>
              <w:rPr>
                <w:rFonts w:eastAsia="Calibri" w:cs="Calibri"/>
                <w:sz w:val="18"/>
                <w:szCs w:val="18"/>
              </w:rPr>
              <w:t>*:</w:t>
            </w:r>
          </w:p>
          <w:p>
            <w:pPr>
              <w:pStyle w:val="Normal"/>
              <w:widowControl w:val="false"/>
              <w:spacing w:before="40" w:after="40"/>
              <w:jc w:val="both"/>
              <w:rPr>
                <w:rFonts w:eastAsia="Calibri" w:cs="Calibri"/>
                <w:sz w:val="18"/>
                <w:szCs w:val="18"/>
              </w:rPr>
            </w:pPr>
            <w:r>
              <w:rPr>
                <w:rFonts w:eastAsia="Calibri" w:cs="Calibri"/>
                <w:sz w:val="18"/>
                <w:szCs w:val="18"/>
              </w:rPr>
              <w:t>При оценке участника критерий оценки «Отношение Участника закупки к изготовителю (производителю) предлагаемой продукции (в том числе её части)» применяется с учетом объема (по стоимости) предлагаемой Участником в данном статусе продукции (товара), при этом:</w:t>
            </w:r>
          </w:p>
          <w:p>
            <w:pPr>
              <w:pStyle w:val="Normal"/>
              <w:widowControl w:val="false"/>
              <w:spacing w:before="40" w:after="40"/>
              <w:ind w:firstLine="201"/>
              <w:jc w:val="center"/>
              <w:rPr>
                <w:rFonts w:eastAsia="Calibri" w:cs="Calibri"/>
                <w:sz w:val="18"/>
                <w:szCs w:val="18"/>
              </w:rPr>
            </w:pPr>
            <w:r>
              <w:rPr/>
            </w:r>
            <m:oMathPara xmlns:m="http://schemas.openxmlformats.org/officeDocument/2006/math">
              <m:oMathParaPr>
                <m:jc m:val="center"/>
              </m:oMathParaPr>
              <m:oMath>
                <m:sSub>
                  <m:e>
                    <m:r>
                      <w:rPr>
                        <w:rFonts w:ascii="Cambria Math" w:hAnsi="Cambria Math"/>
                      </w:rPr>
                      <m:t xml:space="preserve">Б</m:t>
                    </m:r>
                  </m:e>
                  <m:sub>
                    <m:r>
                      <w:rPr>
                        <w:rFonts w:ascii="Cambria Math" w:hAnsi="Cambria Math"/>
                      </w:rPr>
                      <m:t xml:space="preserve">2</m:t>
                    </m:r>
                  </m:sub>
                </m:sSub>
                <m:r>
                  <w:rPr>
                    <w:rFonts w:ascii="Cambria Math" w:hAnsi="Cambria Math"/>
                  </w:rPr>
                  <m:t xml:space="preserve">=</m:t>
                </m:r>
                <m:nary>
                  <m:naryPr>
                    <m:chr m:val="∑"/>
                  </m:naryPr>
                  <m:sub>
                    <m:r>
                      <w:rPr>
                        <w:rFonts w:ascii="Cambria Math" w:hAnsi="Cambria Math"/>
                      </w:rPr>
                      <m:t xml:space="preserve">k</m:t>
                    </m:r>
                    <m:r>
                      <w:rPr>
                        <w:rFonts w:ascii="Cambria Math" w:hAnsi="Cambria Math"/>
                      </w:rPr>
                      <m:t xml:space="preserve">=</m:t>
                    </m:r>
                    <m:r>
                      <w:rPr>
                        <w:rFonts w:ascii="Cambria Math" w:hAnsi="Cambria Math"/>
                      </w:rPr>
                      <m:t xml:space="preserve">1</m:t>
                    </m:r>
                  </m:sub>
                  <m:sup>
                    <m:r>
                      <w:rPr>
                        <w:rFonts w:ascii="Cambria Math" w:hAnsi="Cambria Math"/>
                      </w:rPr>
                      <m:t xml:space="preserve">n</m:t>
                    </m:r>
                  </m:sup>
                  <m:e>
                    <m:sSub>
                      <m:e>
                        <m:r>
                          <w:rPr>
                            <w:rFonts w:ascii="Cambria Math" w:hAnsi="Cambria Math"/>
                          </w:rPr>
                          <m:t xml:space="preserve">k</m:t>
                        </m:r>
                      </m:e>
                      <m:sub>
                        <m:r>
                          <w:rPr>
                            <w:rFonts w:ascii="Cambria Math" w:hAnsi="Cambria Math"/>
                          </w:rPr>
                          <m:t xml:space="preserve">i</m:t>
                        </m:r>
                      </m:sub>
                    </m:sSub>
                    <m:r>
                      <w:rPr>
                        <w:rFonts w:ascii="Cambria Math" w:hAnsi="Cambria Math"/>
                      </w:rPr>
                      <m:t xml:space="preserve">∗</m:t>
                    </m:r>
                    <m:sSub>
                      <m:e>
                        <m:r>
                          <w:rPr>
                            <w:rFonts w:ascii="Cambria Math" w:hAnsi="Cambria Math"/>
                          </w:rPr>
                          <m:t xml:space="preserve">Б</m:t>
                        </m:r>
                      </m:e>
                      <m:sub>
                        <m:r>
                          <w:rPr>
                            <w:rFonts w:ascii="Cambria Math" w:hAnsi="Cambria Math"/>
                          </w:rPr>
                          <m:t xml:space="preserve">i</m:t>
                        </m:r>
                      </m:sub>
                    </m:sSub>
                  </m:e>
                </m:nary>
              </m:oMath>
            </m:oMathPara>
          </w:p>
          <w:tbl>
            <w:tblPr>
              <w:tblW w:w="7411"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873"/>
              <w:gridCol w:w="6537"/>
            </w:tblGrid>
            <w:tr>
              <w:trPr>
                <w:trHeight w:val="309" w:hRule="atLeast"/>
                <w:cantSplit w:val="true"/>
              </w:trPr>
              <w:tc>
                <w:tcPr>
                  <w:tcW w:w="873" w:type="dxa"/>
                  <w:tcBorders>
                    <w:top w:val="single" w:sz="4" w:space="0" w:color="000001"/>
                    <w:bottom w:val="single" w:sz="4" w:space="0" w:color="000001"/>
                    <w:right w:val="single" w:sz="4" w:space="0" w:color="000001"/>
                  </w:tcBorders>
                  <w:shd w:color="auto" w:fill="FFFFFF" w:val="clear"/>
                </w:tcPr>
                <w:p>
                  <w:pPr>
                    <w:pStyle w:val="Normal"/>
                    <w:widowControl w:val="false"/>
                    <w:snapToGrid w:val="false"/>
                    <w:spacing w:before="40" w:after="40"/>
                    <w:jc w:val="center"/>
                    <w:rPr>
                      <w:rFonts w:eastAsia="Calibri" w:cs="Calibri"/>
                      <w:sz w:val="18"/>
                      <w:szCs w:val="18"/>
                    </w:rPr>
                  </w:pPr>
                  <w:r>
                    <w:rPr>
                      <w:rFonts w:eastAsia="Calibri" w:cs="Calibri"/>
                      <w:sz w:val="18"/>
                      <w:szCs w:val="18"/>
                    </w:rPr>
                    <w:t>Б</w:t>
                  </w:r>
                  <w:r>
                    <w:rPr>
                      <w:rFonts w:eastAsia="Calibri" w:cs="Calibri"/>
                      <w:i/>
                      <w:sz w:val="18"/>
                      <w:szCs w:val="18"/>
                      <w:vertAlign w:val="subscript"/>
                    </w:rPr>
                    <w:t>i</w:t>
                  </w:r>
                  <w:r>
                    <w:rPr>
                      <w:rFonts w:eastAsia="Calibri" w:cs="Calibri"/>
                      <w:sz w:val="18"/>
                      <w:szCs w:val="18"/>
                    </w:rPr>
                    <w:t>= 0</w:t>
                  </w:r>
                </w:p>
              </w:tc>
              <w:tc>
                <w:tcPr>
                  <w:tcW w:w="6537" w:type="dxa"/>
                  <w:tcBorders>
                    <w:top w:val="single" w:sz="4" w:space="0" w:color="000001"/>
                    <w:left w:val="single" w:sz="4" w:space="0" w:color="000001"/>
                    <w:bottom w:val="single" w:sz="4" w:space="0" w:color="000001"/>
                    <w:right w:val="single" w:sz="4" w:space="0" w:color="000001"/>
                  </w:tcBorders>
                  <w:shd w:color="auto" w:fill="FFFFFF" w:val="clear"/>
                  <w:tcMar>
                    <w:left w:w="103" w:type="dxa"/>
                  </w:tcMar>
                </w:tcPr>
                <w:p>
                  <w:pPr>
                    <w:pStyle w:val="Normal"/>
                    <w:widowControl w:val="false"/>
                    <w:numPr>
                      <w:ilvl w:val="0"/>
                      <w:numId w:val="0"/>
                    </w:numPr>
                    <w:snapToGrid w:val="false"/>
                    <w:spacing w:before="40" w:after="40"/>
                    <w:ind w:left="0" w:hanging="0"/>
                    <w:jc w:val="both"/>
                    <w:outlineLvl w:val="4"/>
                    <w:rPr>
                      <w:rFonts w:eastAsia="Calibri" w:cs="Calibri"/>
                      <w:b/>
                      <w:sz w:val="18"/>
                      <w:szCs w:val="18"/>
                    </w:rPr>
                  </w:pPr>
                  <w:r>
                    <w:rPr>
                      <w:rFonts w:eastAsia="Calibri" w:cs="Calibri"/>
                      <w:b/>
                      <w:sz w:val="18"/>
                      <w:szCs w:val="18"/>
                    </w:rPr>
                    <w:t>1. Участник не является изготовителем (производителем) и/или аффилированным изготовителю (производителю) по одному из пунктов, указанных в Таблице - Признаки аффилированности и документы, подтверждающие данные признаки (Документации о закупке), и/или представителем изготовителя (производителя).</w:t>
                  </w:r>
                </w:p>
                <w:p>
                  <w:pPr>
                    <w:pStyle w:val="Normal"/>
                    <w:widowControl w:val="false"/>
                    <w:numPr>
                      <w:ilvl w:val="0"/>
                      <w:numId w:val="0"/>
                    </w:numPr>
                    <w:snapToGrid w:val="false"/>
                    <w:spacing w:before="40" w:after="40"/>
                    <w:ind w:left="0" w:hanging="0"/>
                    <w:jc w:val="both"/>
                    <w:outlineLvl w:val="4"/>
                    <w:rPr>
                      <w:rFonts w:eastAsia="Calibri" w:cs="Calibri"/>
                      <w:b/>
                      <w:sz w:val="18"/>
                      <w:szCs w:val="18"/>
                    </w:rPr>
                  </w:pPr>
                  <w:r>
                    <w:rPr>
                      <w:rFonts w:eastAsia="Calibri" w:cs="Calibri"/>
                      <w:b/>
                      <w:sz w:val="18"/>
                      <w:szCs w:val="18"/>
                    </w:rPr>
                  </w:r>
                </w:p>
                <w:p>
                  <w:pPr>
                    <w:pStyle w:val="Normal"/>
                    <w:widowControl w:val="false"/>
                    <w:numPr>
                      <w:ilvl w:val="0"/>
                      <w:numId w:val="0"/>
                    </w:numPr>
                    <w:snapToGrid w:val="false"/>
                    <w:spacing w:before="40" w:after="40"/>
                    <w:ind w:left="0" w:hanging="0"/>
                    <w:jc w:val="both"/>
                    <w:outlineLvl w:val="4"/>
                    <w:rPr>
                      <w:rFonts w:eastAsia="Calibri" w:cs="Calibri"/>
                      <w:b/>
                      <w:sz w:val="18"/>
                      <w:szCs w:val="18"/>
                    </w:rPr>
                  </w:pPr>
                  <w:r>
                    <w:rPr>
                      <w:rFonts w:eastAsia="Calibri" w:cs="Calibri"/>
                      <w:b/>
                      <w:sz w:val="18"/>
                      <w:szCs w:val="18"/>
                    </w:rPr>
                    <w:t>2. В случае непредставления документов, подтверждающих статус Участника.</w:t>
                  </w:r>
                </w:p>
              </w:tc>
            </w:tr>
            <w:tr>
              <w:trPr>
                <w:trHeight w:val="309" w:hRule="atLeast"/>
                <w:cantSplit w:val="true"/>
              </w:trPr>
              <w:tc>
                <w:tcPr>
                  <w:tcW w:w="873" w:type="dxa"/>
                  <w:tcBorders>
                    <w:top w:val="single" w:sz="4" w:space="0" w:color="000001"/>
                    <w:bottom w:val="single" w:sz="4" w:space="0" w:color="000001"/>
                    <w:right w:val="single" w:sz="4" w:space="0" w:color="000001"/>
                  </w:tcBorders>
                  <w:shd w:color="auto" w:fill="FFFFFF" w:val="clear"/>
                </w:tcPr>
                <w:p>
                  <w:pPr>
                    <w:pStyle w:val="Normal"/>
                    <w:widowControl w:val="false"/>
                    <w:snapToGrid w:val="false"/>
                    <w:spacing w:before="40" w:after="40"/>
                    <w:jc w:val="center"/>
                    <w:rPr>
                      <w:rFonts w:eastAsia="Calibri" w:cs="Calibri"/>
                      <w:sz w:val="18"/>
                      <w:szCs w:val="18"/>
                    </w:rPr>
                  </w:pPr>
                  <w:r>
                    <w:rPr>
                      <w:rFonts w:eastAsia="Calibri" w:cs="Calibri"/>
                      <w:sz w:val="18"/>
                      <w:szCs w:val="18"/>
                    </w:rPr>
                    <w:t>Б</w:t>
                  </w:r>
                  <w:r>
                    <w:rPr>
                      <w:rFonts w:eastAsia="Calibri" w:cs="Calibri"/>
                      <w:i/>
                      <w:sz w:val="18"/>
                      <w:szCs w:val="18"/>
                      <w:vertAlign w:val="subscript"/>
                    </w:rPr>
                    <w:t>i</w:t>
                  </w:r>
                  <w:r>
                    <w:rPr>
                      <w:rFonts w:eastAsia="Calibri" w:cs="Calibri"/>
                      <w:sz w:val="18"/>
                      <w:szCs w:val="18"/>
                    </w:rPr>
                    <w:t>= 1</w:t>
                  </w:r>
                </w:p>
              </w:tc>
              <w:tc>
                <w:tcPr>
                  <w:tcW w:w="6537" w:type="dxa"/>
                  <w:tcBorders>
                    <w:top w:val="single" w:sz="4" w:space="0" w:color="000001"/>
                    <w:left w:val="single" w:sz="4" w:space="0" w:color="000001"/>
                    <w:bottom w:val="single" w:sz="4" w:space="0" w:color="000001"/>
                    <w:right w:val="single" w:sz="4" w:space="0" w:color="000001"/>
                  </w:tcBorders>
                  <w:shd w:color="auto" w:fill="FFFFFF" w:val="clear"/>
                  <w:tcMar>
                    <w:left w:w="103" w:type="dxa"/>
                  </w:tcMar>
                </w:tcPr>
                <w:p>
                  <w:pPr>
                    <w:pStyle w:val="Normal"/>
                    <w:widowControl w:val="false"/>
                    <w:numPr>
                      <w:ilvl w:val="0"/>
                      <w:numId w:val="0"/>
                    </w:numPr>
                    <w:snapToGrid w:val="false"/>
                    <w:spacing w:before="40" w:after="40"/>
                    <w:ind w:left="0" w:hanging="0"/>
                    <w:outlineLvl w:val="4"/>
                    <w:rPr>
                      <w:rFonts w:eastAsia="Calibri" w:cs="Calibri"/>
                      <w:b/>
                      <w:sz w:val="18"/>
                      <w:szCs w:val="18"/>
                    </w:rPr>
                  </w:pPr>
                  <w:r>
                    <w:rPr>
                      <w:rFonts w:eastAsia="Calibri" w:cs="Calibri"/>
                      <w:b/>
                      <w:sz w:val="18"/>
                      <w:szCs w:val="18"/>
                    </w:rPr>
                    <w:t>Участник является представителем изготовителя (производителя)</w:t>
                  </w:r>
                </w:p>
                <w:p>
                  <w:pPr>
                    <w:pStyle w:val="Normal"/>
                    <w:widowControl w:val="false"/>
                    <w:numPr>
                      <w:ilvl w:val="0"/>
                      <w:numId w:val="0"/>
                    </w:numPr>
                    <w:snapToGrid w:val="false"/>
                    <w:spacing w:before="40" w:after="40"/>
                    <w:ind w:left="0" w:hanging="0"/>
                    <w:jc w:val="both"/>
                    <w:outlineLvl w:val="4"/>
                    <w:rPr>
                      <w:rFonts w:eastAsia="Calibri" w:cs="Calibri"/>
                      <w:sz w:val="18"/>
                      <w:szCs w:val="18"/>
                    </w:rPr>
                  </w:pPr>
                  <w:r>
                    <w:rPr>
                      <w:rFonts w:eastAsia="Calibri" w:cs="Calibri"/>
                      <w:sz w:val="18"/>
                      <w:szCs w:val="18"/>
                    </w:rPr>
                    <w:t>(статус подтверждается действующими на момент подачи заявки документами изготовителя (производителя), в которых указан статус Участника в качестве представителя/дилера, сроком действия не менее одного года)</w:t>
                  </w:r>
                </w:p>
              </w:tc>
            </w:tr>
            <w:tr>
              <w:trPr>
                <w:trHeight w:val="309" w:hRule="atLeast"/>
                <w:cantSplit w:val="true"/>
              </w:trPr>
              <w:tc>
                <w:tcPr>
                  <w:tcW w:w="873" w:type="dxa"/>
                  <w:tcBorders>
                    <w:top w:val="single" w:sz="4" w:space="0" w:color="000001"/>
                    <w:bottom w:val="single" w:sz="4" w:space="0" w:color="000001"/>
                    <w:right w:val="single" w:sz="4" w:space="0" w:color="000001"/>
                  </w:tcBorders>
                  <w:shd w:color="auto" w:fill="FFFFFF" w:val="clear"/>
                </w:tcPr>
                <w:p>
                  <w:pPr>
                    <w:pStyle w:val="Normal"/>
                    <w:widowControl w:val="false"/>
                    <w:snapToGrid w:val="false"/>
                    <w:spacing w:before="40" w:after="40"/>
                    <w:jc w:val="center"/>
                    <w:rPr>
                      <w:rFonts w:eastAsia="Calibri" w:cs="Calibri"/>
                      <w:sz w:val="18"/>
                      <w:szCs w:val="18"/>
                    </w:rPr>
                  </w:pPr>
                  <w:r>
                    <w:rPr>
                      <w:rFonts w:eastAsia="Calibri" w:cs="Calibri"/>
                      <w:sz w:val="18"/>
                      <w:szCs w:val="18"/>
                    </w:rPr>
                    <w:t>Б</w:t>
                  </w:r>
                  <w:r>
                    <w:rPr>
                      <w:rFonts w:eastAsia="Calibri" w:cs="Calibri"/>
                      <w:i/>
                      <w:sz w:val="18"/>
                      <w:szCs w:val="18"/>
                      <w:vertAlign w:val="subscript"/>
                    </w:rPr>
                    <w:t>i</w:t>
                  </w:r>
                  <w:r>
                    <w:rPr>
                      <w:rFonts w:eastAsia="Calibri" w:cs="Calibri"/>
                      <w:sz w:val="18"/>
                      <w:szCs w:val="18"/>
                    </w:rPr>
                    <w:t>= 2</w:t>
                  </w:r>
                </w:p>
              </w:tc>
              <w:tc>
                <w:tcPr>
                  <w:tcW w:w="6537" w:type="dxa"/>
                  <w:tcBorders>
                    <w:top w:val="single" w:sz="4" w:space="0" w:color="000001"/>
                    <w:left w:val="single" w:sz="4" w:space="0" w:color="000001"/>
                    <w:bottom w:val="single" w:sz="4" w:space="0" w:color="000001"/>
                    <w:right w:val="single" w:sz="4" w:space="0" w:color="000001"/>
                  </w:tcBorders>
                  <w:shd w:color="auto" w:fill="FFFFFF" w:val="clear"/>
                  <w:tcMar>
                    <w:left w:w="103" w:type="dxa"/>
                  </w:tcMar>
                </w:tcPr>
                <w:p>
                  <w:pPr>
                    <w:pStyle w:val="Normal"/>
                    <w:widowControl w:val="false"/>
                    <w:numPr>
                      <w:ilvl w:val="0"/>
                      <w:numId w:val="0"/>
                    </w:numPr>
                    <w:snapToGrid w:val="false"/>
                    <w:spacing w:before="40" w:after="40"/>
                    <w:ind w:left="0" w:hanging="0"/>
                    <w:jc w:val="both"/>
                    <w:outlineLvl w:val="4"/>
                    <w:rPr>
                      <w:rFonts w:eastAsia="Calibri" w:cs="Calibri"/>
                      <w:b/>
                      <w:sz w:val="18"/>
                      <w:szCs w:val="18"/>
                    </w:rPr>
                  </w:pPr>
                  <w:r>
                    <w:rPr>
                      <w:rFonts w:eastAsia="Calibri" w:cs="Calibri"/>
                      <w:b/>
                      <w:sz w:val="18"/>
                      <w:szCs w:val="18"/>
                    </w:rPr>
                    <w:t>Участник является официальным представителем изготовителя (производителя)</w:t>
                  </w:r>
                </w:p>
                <w:p>
                  <w:pPr>
                    <w:pStyle w:val="Normal"/>
                    <w:widowControl w:val="false"/>
                    <w:numPr>
                      <w:ilvl w:val="0"/>
                      <w:numId w:val="0"/>
                    </w:numPr>
                    <w:snapToGrid w:val="false"/>
                    <w:spacing w:before="40" w:after="40"/>
                    <w:ind w:left="0" w:hanging="0"/>
                    <w:jc w:val="both"/>
                    <w:outlineLvl w:val="4"/>
                    <w:rPr>
                      <w:rFonts w:eastAsia="Calibri" w:cs="Calibri"/>
                      <w:sz w:val="18"/>
                      <w:szCs w:val="18"/>
                    </w:rPr>
                  </w:pPr>
                  <w:r>
                    <w:rPr>
                      <w:rFonts w:eastAsia="Calibri" w:cs="Calibri"/>
                      <w:sz w:val="18"/>
                      <w:szCs w:val="18"/>
                    </w:rPr>
                    <w:t>(статус подтверждается копией подписанного с обеих сторон действующего на момент подачи заявки договора (либо соглашения) с изготовителем (производителем), сроком действия не менее одного года, предметом которого является представление Участником интересов изготовителя (производителя) в части предлагаемой реализации продукции (товара))</w:t>
                  </w:r>
                </w:p>
              </w:tc>
            </w:tr>
            <w:tr>
              <w:trPr>
                <w:trHeight w:val="309" w:hRule="atLeast"/>
                <w:cantSplit w:val="true"/>
              </w:trPr>
              <w:tc>
                <w:tcPr>
                  <w:tcW w:w="873" w:type="dxa"/>
                  <w:tcBorders>
                    <w:top w:val="single" w:sz="4" w:space="0" w:color="000001"/>
                    <w:bottom w:val="single" w:sz="4" w:space="0" w:color="000001"/>
                    <w:right w:val="single" w:sz="4" w:space="0" w:color="000001"/>
                  </w:tcBorders>
                  <w:shd w:color="auto" w:fill="FFFFFF" w:val="clear"/>
                </w:tcPr>
                <w:p>
                  <w:pPr>
                    <w:pStyle w:val="Normal"/>
                    <w:widowControl w:val="false"/>
                    <w:snapToGrid w:val="false"/>
                    <w:spacing w:before="40" w:after="40"/>
                    <w:jc w:val="center"/>
                    <w:rPr>
                      <w:rFonts w:eastAsia="Calibri" w:cs="Calibri"/>
                      <w:sz w:val="18"/>
                      <w:szCs w:val="18"/>
                    </w:rPr>
                  </w:pPr>
                  <w:r>
                    <w:rPr>
                      <w:rFonts w:eastAsia="Calibri" w:cs="Calibri"/>
                      <w:sz w:val="18"/>
                      <w:szCs w:val="18"/>
                    </w:rPr>
                    <w:t>Б</w:t>
                  </w:r>
                  <w:r>
                    <w:rPr>
                      <w:rFonts w:eastAsia="Calibri" w:cs="Calibri"/>
                      <w:i/>
                      <w:sz w:val="18"/>
                      <w:szCs w:val="18"/>
                      <w:vertAlign w:val="subscript"/>
                    </w:rPr>
                    <w:t>i</w:t>
                  </w:r>
                  <w:r>
                    <w:rPr>
                      <w:rFonts w:eastAsia="Calibri" w:cs="Calibri"/>
                      <w:sz w:val="18"/>
                      <w:szCs w:val="18"/>
                    </w:rPr>
                    <w:t>= 3</w:t>
                  </w:r>
                </w:p>
              </w:tc>
              <w:tc>
                <w:tcPr>
                  <w:tcW w:w="6537" w:type="dxa"/>
                  <w:tcBorders>
                    <w:top w:val="single" w:sz="4" w:space="0" w:color="000001"/>
                    <w:left w:val="single" w:sz="4" w:space="0" w:color="000001"/>
                    <w:bottom w:val="single" w:sz="4" w:space="0" w:color="000001"/>
                    <w:right w:val="single" w:sz="4" w:space="0" w:color="000001"/>
                  </w:tcBorders>
                  <w:shd w:color="auto" w:fill="FFFFFF" w:val="clear"/>
                  <w:tcMar>
                    <w:left w:w="103" w:type="dxa"/>
                  </w:tcMar>
                </w:tcPr>
                <w:p>
                  <w:pPr>
                    <w:pStyle w:val="Normal"/>
                    <w:widowControl w:val="false"/>
                    <w:numPr>
                      <w:ilvl w:val="0"/>
                      <w:numId w:val="0"/>
                    </w:numPr>
                    <w:snapToGrid w:val="false"/>
                    <w:spacing w:before="40" w:after="40"/>
                    <w:ind w:left="0" w:hanging="0"/>
                    <w:jc w:val="both"/>
                    <w:outlineLvl w:val="4"/>
                    <w:rPr>
                      <w:rFonts w:eastAsia="Calibri" w:cs="Calibri"/>
                      <w:sz w:val="18"/>
                      <w:szCs w:val="18"/>
                    </w:rPr>
                  </w:pPr>
                  <w:r>
                    <w:rPr>
                      <w:rFonts w:eastAsia="Calibri" w:cs="Calibri"/>
                      <w:b/>
                      <w:sz w:val="18"/>
                      <w:szCs w:val="18"/>
                    </w:rPr>
                    <w:t>Участник является аффилированным изготовителю (производителю) по одному из следующих пунктов 7, 9, указанных в Таблице - Признаки аффилированности и документы, подтверждающие данные признаки (Документации о закупке).</w:t>
                  </w:r>
                  <w:r>
                    <w:rPr>
                      <w:rFonts w:eastAsia="Calibri" w:cs="Calibri"/>
                      <w:sz w:val="18"/>
                      <w:szCs w:val="18"/>
                    </w:rPr>
                    <w:t xml:space="preserve"> (статус аффилированности подтверждается Справкой об аффилированности участника закупки с изготовителем (производителем) предлагаемой продукции (товара), с приложением подтверждающих документов по форме, приведенной в Документации о закупке)</w:t>
                  </w:r>
                </w:p>
              </w:tc>
            </w:tr>
            <w:tr>
              <w:trPr>
                <w:trHeight w:val="309" w:hRule="atLeast"/>
                <w:cantSplit w:val="true"/>
              </w:trPr>
              <w:tc>
                <w:tcPr>
                  <w:tcW w:w="873" w:type="dxa"/>
                  <w:tcBorders>
                    <w:top w:val="single" w:sz="4" w:space="0" w:color="000001"/>
                    <w:bottom w:val="single" w:sz="4" w:space="0" w:color="000001"/>
                    <w:right w:val="single" w:sz="4" w:space="0" w:color="000001"/>
                  </w:tcBorders>
                  <w:shd w:color="auto" w:fill="FFFFFF" w:val="clear"/>
                </w:tcPr>
                <w:p>
                  <w:pPr>
                    <w:pStyle w:val="Normal"/>
                    <w:widowControl w:val="false"/>
                    <w:snapToGrid w:val="false"/>
                    <w:spacing w:before="40" w:after="40"/>
                    <w:jc w:val="center"/>
                    <w:rPr>
                      <w:rFonts w:eastAsia="Calibri" w:cs="Calibri"/>
                      <w:sz w:val="18"/>
                      <w:szCs w:val="18"/>
                    </w:rPr>
                  </w:pPr>
                  <w:r>
                    <w:rPr>
                      <w:rFonts w:eastAsia="Calibri" w:cs="Calibri"/>
                      <w:sz w:val="18"/>
                      <w:szCs w:val="18"/>
                    </w:rPr>
                    <w:t>Б</w:t>
                  </w:r>
                  <w:r>
                    <w:rPr>
                      <w:rFonts w:eastAsia="Calibri" w:cs="Calibri"/>
                      <w:i/>
                      <w:sz w:val="18"/>
                      <w:szCs w:val="18"/>
                      <w:vertAlign w:val="subscript"/>
                    </w:rPr>
                    <w:t>i</w:t>
                  </w:r>
                  <w:r>
                    <w:rPr>
                      <w:rFonts w:eastAsia="Calibri" w:cs="Calibri"/>
                      <w:sz w:val="18"/>
                      <w:szCs w:val="18"/>
                    </w:rPr>
                    <w:t>= 4</w:t>
                  </w:r>
                </w:p>
              </w:tc>
              <w:tc>
                <w:tcPr>
                  <w:tcW w:w="6537" w:type="dxa"/>
                  <w:tcBorders>
                    <w:top w:val="single" w:sz="4" w:space="0" w:color="000001"/>
                    <w:left w:val="single" w:sz="4" w:space="0" w:color="000001"/>
                    <w:bottom w:val="single" w:sz="4" w:space="0" w:color="000001"/>
                    <w:right w:val="single" w:sz="4" w:space="0" w:color="000001"/>
                  </w:tcBorders>
                  <w:shd w:color="auto" w:fill="FFFFFF" w:val="clear"/>
                  <w:tcMar>
                    <w:left w:w="103" w:type="dxa"/>
                  </w:tcMar>
                </w:tcPr>
                <w:p>
                  <w:pPr>
                    <w:pStyle w:val="Normal"/>
                    <w:widowControl w:val="false"/>
                    <w:numPr>
                      <w:ilvl w:val="0"/>
                      <w:numId w:val="0"/>
                    </w:numPr>
                    <w:snapToGrid w:val="false"/>
                    <w:spacing w:before="40" w:after="40"/>
                    <w:ind w:left="0" w:hanging="0"/>
                    <w:jc w:val="both"/>
                    <w:outlineLvl w:val="4"/>
                    <w:rPr>
                      <w:rFonts w:eastAsia="Calibri" w:cs="Calibri"/>
                      <w:b/>
                      <w:sz w:val="18"/>
                      <w:szCs w:val="18"/>
                    </w:rPr>
                  </w:pPr>
                  <w:r>
                    <w:rPr>
                      <w:rFonts w:eastAsia="Calibri" w:cs="Calibri"/>
                      <w:b/>
                      <w:sz w:val="18"/>
                      <w:szCs w:val="18"/>
                    </w:rPr>
                    <w:t>Участник является аффилированным изготовителю (производителю) по одному из следующих пунктов 4, 5, 8, 10, указанных в Таблице - Признаки аффилированности и документы, подтверждающие данные признаки (Документации о закупке).</w:t>
                  </w:r>
                </w:p>
                <w:p>
                  <w:pPr>
                    <w:pStyle w:val="Normal"/>
                    <w:widowControl w:val="false"/>
                    <w:numPr>
                      <w:ilvl w:val="0"/>
                      <w:numId w:val="0"/>
                    </w:numPr>
                    <w:snapToGrid w:val="false"/>
                    <w:spacing w:before="40" w:after="40"/>
                    <w:ind w:left="0" w:hanging="0"/>
                    <w:jc w:val="both"/>
                    <w:outlineLvl w:val="4"/>
                    <w:rPr>
                      <w:rFonts w:eastAsia="Calibri" w:cs="Calibri"/>
                      <w:sz w:val="18"/>
                      <w:szCs w:val="18"/>
                    </w:rPr>
                  </w:pPr>
                  <w:r>
                    <w:rPr>
                      <w:rFonts w:eastAsia="Calibri" w:cs="Calibri"/>
                      <w:sz w:val="18"/>
                      <w:szCs w:val="18"/>
                    </w:rPr>
                    <w:t>(статус аффилированности</w:t>
                  </w:r>
                  <w:bookmarkStart w:id="402" w:name="_GoBack_Копия_1"/>
                  <w:bookmarkEnd w:id="402"/>
                  <w:r>
                    <w:rPr>
                      <w:rFonts w:eastAsia="Calibri" w:cs="Calibri"/>
                      <w:sz w:val="18"/>
                      <w:szCs w:val="18"/>
                    </w:rPr>
                    <w:t xml:space="preserve"> подтверждается Справкой об аффилированности Участника закупки с изготовителем (производителем) предлагаемой продукции (товара), с приложением подтверждающих документов по форме, приведенной в Документации о закупке)</w:t>
                  </w:r>
                </w:p>
              </w:tc>
            </w:tr>
            <w:tr>
              <w:trPr>
                <w:trHeight w:val="309" w:hRule="atLeast"/>
                <w:cantSplit w:val="true"/>
              </w:trPr>
              <w:tc>
                <w:tcPr>
                  <w:tcW w:w="873" w:type="dxa"/>
                  <w:tcBorders>
                    <w:top w:val="single" w:sz="4" w:space="0" w:color="000001"/>
                    <w:bottom w:val="single" w:sz="4" w:space="0" w:color="000001"/>
                    <w:right w:val="single" w:sz="4" w:space="0" w:color="000001"/>
                  </w:tcBorders>
                  <w:shd w:color="auto" w:fill="FFFFFF" w:val="clear"/>
                </w:tcPr>
                <w:p>
                  <w:pPr>
                    <w:pStyle w:val="Normal"/>
                    <w:widowControl w:val="false"/>
                    <w:snapToGrid w:val="false"/>
                    <w:spacing w:before="40" w:after="40"/>
                    <w:jc w:val="center"/>
                    <w:rPr>
                      <w:rFonts w:eastAsia="Calibri" w:cs="Calibri"/>
                      <w:sz w:val="18"/>
                      <w:szCs w:val="18"/>
                    </w:rPr>
                  </w:pPr>
                  <w:r>
                    <w:rPr>
                      <w:rFonts w:eastAsia="Calibri" w:cs="Calibri"/>
                      <w:sz w:val="18"/>
                      <w:szCs w:val="18"/>
                    </w:rPr>
                    <w:t>Б</w:t>
                  </w:r>
                  <w:r>
                    <w:rPr>
                      <w:rFonts w:eastAsia="Calibri" w:cs="Calibri"/>
                      <w:i/>
                      <w:sz w:val="18"/>
                      <w:szCs w:val="18"/>
                      <w:vertAlign w:val="subscript"/>
                    </w:rPr>
                    <w:t>i</w:t>
                  </w:r>
                  <w:r>
                    <w:rPr>
                      <w:rFonts w:eastAsia="Calibri" w:cs="Calibri"/>
                      <w:sz w:val="18"/>
                      <w:szCs w:val="18"/>
                    </w:rPr>
                    <w:t>= 5</w:t>
                  </w:r>
                </w:p>
              </w:tc>
              <w:tc>
                <w:tcPr>
                  <w:tcW w:w="6537" w:type="dxa"/>
                  <w:tcBorders>
                    <w:top w:val="single" w:sz="4" w:space="0" w:color="000001"/>
                    <w:left w:val="single" w:sz="4" w:space="0" w:color="000001"/>
                    <w:bottom w:val="single" w:sz="4" w:space="0" w:color="000001"/>
                    <w:right w:val="single" w:sz="4" w:space="0" w:color="000001"/>
                  </w:tcBorders>
                  <w:shd w:color="auto" w:fill="FFFFFF" w:val="clear"/>
                  <w:tcMar>
                    <w:left w:w="103" w:type="dxa"/>
                  </w:tcMar>
                </w:tcPr>
                <w:p>
                  <w:pPr>
                    <w:pStyle w:val="Normal"/>
                    <w:widowControl w:val="false"/>
                    <w:numPr>
                      <w:ilvl w:val="0"/>
                      <w:numId w:val="0"/>
                    </w:numPr>
                    <w:snapToGrid w:val="false"/>
                    <w:spacing w:before="40" w:after="40"/>
                    <w:ind w:left="0" w:hanging="0"/>
                    <w:jc w:val="both"/>
                    <w:outlineLvl w:val="4"/>
                    <w:rPr>
                      <w:rFonts w:eastAsia="Calibri" w:cs="Calibri"/>
                      <w:b/>
                      <w:sz w:val="18"/>
                      <w:szCs w:val="18"/>
                    </w:rPr>
                  </w:pPr>
                  <w:r>
                    <w:rPr>
                      <w:rFonts w:eastAsia="Calibri" w:cs="Calibri"/>
                      <w:b/>
                      <w:sz w:val="18"/>
                      <w:szCs w:val="18"/>
                    </w:rPr>
                    <w:t>1. Участник является изготовителем (производителем)</w:t>
                  </w:r>
                </w:p>
                <w:p>
                  <w:pPr>
                    <w:pStyle w:val="Normal"/>
                    <w:widowControl w:val="false"/>
                    <w:numPr>
                      <w:ilvl w:val="0"/>
                      <w:numId w:val="0"/>
                    </w:numPr>
                    <w:snapToGrid w:val="false"/>
                    <w:spacing w:before="40" w:after="40"/>
                    <w:ind w:left="0" w:hanging="0"/>
                    <w:jc w:val="both"/>
                    <w:outlineLvl w:val="4"/>
                    <w:rPr>
                      <w:rFonts w:eastAsia="Calibri" w:cs="Calibri"/>
                      <w:sz w:val="18"/>
                      <w:szCs w:val="18"/>
                    </w:rPr>
                  </w:pPr>
                  <w:r>
                    <w:rPr>
                      <w:rFonts w:eastAsia="Calibri" w:cs="Calibri"/>
                      <w:sz w:val="18"/>
                      <w:szCs w:val="18"/>
                    </w:rPr>
                    <w:t>(подтверждается документами на предлагаемую продукцию (товар), в которых указан изготовитель (производитель)) **. При этом в документах на предлагаемую продукцию (товар) и в Техническом / Коммерческом предложении должен быть указан один и тот же изготовитель (производитель).</w:t>
                  </w:r>
                </w:p>
                <w:p>
                  <w:pPr>
                    <w:pStyle w:val="Normal"/>
                    <w:widowControl w:val="false"/>
                    <w:numPr>
                      <w:ilvl w:val="0"/>
                      <w:numId w:val="0"/>
                    </w:numPr>
                    <w:snapToGrid w:val="false"/>
                    <w:spacing w:before="40" w:after="40"/>
                    <w:ind w:left="0" w:hanging="0"/>
                    <w:jc w:val="both"/>
                    <w:outlineLvl w:val="4"/>
                    <w:rPr>
                      <w:rFonts w:eastAsia="Calibri" w:cs="Calibri"/>
                      <w:sz w:val="18"/>
                      <w:szCs w:val="18"/>
                    </w:rPr>
                  </w:pPr>
                  <w:r>
                    <w:rPr>
                      <w:rFonts w:eastAsia="Calibri" w:cs="Calibri"/>
                      <w:sz w:val="18"/>
                      <w:szCs w:val="18"/>
                    </w:rPr>
                  </w:r>
                </w:p>
                <w:p>
                  <w:pPr>
                    <w:pStyle w:val="Normal"/>
                    <w:widowControl w:val="false"/>
                    <w:numPr>
                      <w:ilvl w:val="0"/>
                      <w:numId w:val="0"/>
                    </w:numPr>
                    <w:snapToGrid w:val="false"/>
                    <w:spacing w:before="40" w:after="40"/>
                    <w:ind w:left="0" w:hanging="0"/>
                    <w:jc w:val="both"/>
                    <w:outlineLvl w:val="4"/>
                    <w:rPr>
                      <w:rFonts w:eastAsia="Calibri" w:cs="Calibri"/>
                      <w:b/>
                      <w:sz w:val="18"/>
                      <w:szCs w:val="18"/>
                    </w:rPr>
                  </w:pPr>
                  <w:r>
                    <w:rPr>
                      <w:rFonts w:eastAsia="Calibri" w:cs="Calibri"/>
                      <w:b/>
                      <w:sz w:val="18"/>
                      <w:szCs w:val="18"/>
                    </w:rPr>
                    <w:t>2. Участник является аффилированным изготовителю (производителю) по одному из следующих пунктов 1, 2, 3, 6, 11, указанных в Таблице - Признаки аффилированности и документы, подтверждающие данные признаки (Документации о закупке).</w:t>
                  </w:r>
                </w:p>
                <w:p>
                  <w:pPr>
                    <w:pStyle w:val="Normal"/>
                    <w:widowControl w:val="false"/>
                    <w:numPr>
                      <w:ilvl w:val="0"/>
                      <w:numId w:val="0"/>
                    </w:numPr>
                    <w:snapToGrid w:val="false"/>
                    <w:spacing w:before="40" w:after="40"/>
                    <w:ind w:left="0" w:hanging="0"/>
                    <w:jc w:val="both"/>
                    <w:outlineLvl w:val="4"/>
                    <w:rPr>
                      <w:rFonts w:eastAsia="Calibri" w:cs="Calibri"/>
                      <w:sz w:val="18"/>
                      <w:szCs w:val="18"/>
                    </w:rPr>
                  </w:pPr>
                  <w:r>
                    <w:rPr>
                      <w:rFonts w:eastAsia="Calibri" w:cs="Calibri"/>
                      <w:sz w:val="18"/>
                      <w:szCs w:val="18"/>
                    </w:rPr>
                    <w:t>(статус аффилированности подтверждается Справкой об аффилированности Участника закупки с изготовителем (производителем) предлагаемой продукции (товара), с приложением подтверждающих документов по форме, приведенной в Документации о закупке)</w:t>
                  </w:r>
                </w:p>
              </w:tc>
            </w:tr>
          </w:tbl>
          <w:p>
            <w:pPr>
              <w:pStyle w:val="Normal"/>
              <w:keepNext w:val="true"/>
              <w:widowControl w:val="false"/>
              <w:spacing w:before="96" w:after="0"/>
              <w:rPr>
                <w:rFonts w:eastAsia="Calibri" w:cs="Calibri"/>
                <w:sz w:val="18"/>
                <w:szCs w:val="18"/>
              </w:rPr>
            </w:pPr>
            <w:r>
              <w:rPr>
                <w:rFonts w:eastAsia="Calibri" w:cs="Calibri"/>
                <w:sz w:val="18"/>
                <w:szCs w:val="18"/>
              </w:rPr>
              <w:t>, где:</w:t>
            </w:r>
          </w:p>
          <w:p>
            <w:pPr>
              <w:pStyle w:val="Normal"/>
              <w:widowControl w:val="false"/>
              <w:tabs>
                <w:tab w:val="clear" w:pos="708"/>
                <w:tab w:val="left" w:pos="742" w:leader="none"/>
                <w:tab w:val="left" w:pos="1167" w:leader="none"/>
              </w:tabs>
              <w:rPr>
                <w:rFonts w:eastAsia="Calibri" w:cs="Calibri"/>
                <w:sz w:val="18"/>
                <w:szCs w:val="18"/>
              </w:rPr>
            </w:pPr>
            <w:r>
              <w:rPr>
                <w:rFonts w:eastAsia="Calibri" w:cs="Calibri"/>
                <w:sz w:val="18"/>
                <w:szCs w:val="18"/>
              </w:rPr>
              <w:t>Б</w:t>
            </w:r>
            <w:r>
              <w:rPr>
                <w:rFonts w:eastAsia="Calibri" w:cs="Calibri"/>
                <w:i/>
                <w:sz w:val="18"/>
                <w:szCs w:val="18"/>
                <w:vertAlign w:val="subscript"/>
              </w:rPr>
              <w:t>2</w:t>
            </w:r>
            <w:r>
              <w:rPr>
                <w:rFonts w:eastAsia="Calibri" w:cs="Calibri"/>
                <w:sz w:val="18"/>
                <w:szCs w:val="18"/>
              </w:rPr>
              <w:t xml:space="preserve"> – рассчитанная оценка по данному частному критерию оценки в баллах.</w:t>
            </w:r>
          </w:p>
          <w:p>
            <w:pPr>
              <w:pStyle w:val="Normal"/>
              <w:widowControl w:val="false"/>
              <w:tabs>
                <w:tab w:val="clear" w:pos="708"/>
                <w:tab w:val="left" w:pos="742" w:leader="none"/>
                <w:tab w:val="left" w:pos="1167" w:leader="none"/>
              </w:tabs>
              <w:jc w:val="both"/>
              <w:rPr>
                <w:rFonts w:eastAsia="Calibri" w:cs="Calibri"/>
                <w:sz w:val="18"/>
                <w:szCs w:val="18"/>
              </w:rPr>
            </w:pPr>
            <w:r>
              <w:rPr>
                <w:rFonts w:eastAsia="Calibri" w:cs="Calibri"/>
                <w:sz w:val="18"/>
                <w:szCs w:val="18"/>
              </w:rPr>
              <w:t>Б</w:t>
            </w:r>
            <w:r>
              <w:rPr>
                <w:rFonts w:eastAsia="Calibri" w:cs="Calibri"/>
                <w:i/>
                <w:sz w:val="18"/>
                <w:szCs w:val="18"/>
                <w:vertAlign w:val="subscript"/>
              </w:rPr>
              <w:t>i</w:t>
            </w:r>
            <w:r>
              <w:rPr>
                <w:rFonts w:eastAsia="Calibri" w:cs="Calibri"/>
                <w:sz w:val="18"/>
                <w:szCs w:val="18"/>
              </w:rPr>
              <w:t xml:space="preserve"> – балл, соответствующий отношению Участника к изготовителю (производителю) предлагаемой продукции (товара).</w:t>
            </w:r>
          </w:p>
          <w:p>
            <w:pPr>
              <w:pStyle w:val="Normal"/>
              <w:widowControl w:val="false"/>
              <w:spacing w:before="40" w:after="40"/>
              <w:jc w:val="both"/>
              <w:rPr>
                <w:rFonts w:eastAsia="Calibri" w:cs="Calibri"/>
                <w:sz w:val="18"/>
                <w:szCs w:val="18"/>
              </w:rPr>
            </w:pPr>
            <w:r>
              <w:rPr>
                <w:rFonts w:eastAsia="Calibri" w:cs="Calibri"/>
                <w:sz w:val="18"/>
                <w:szCs w:val="18"/>
                <w:lang w:val="en-US"/>
              </w:rPr>
              <w:t>k</w:t>
            </w:r>
            <w:r>
              <w:rPr>
                <w:rFonts w:eastAsia="Calibri" w:cs="Calibri"/>
                <w:i/>
                <w:sz w:val="18"/>
                <w:szCs w:val="18"/>
                <w:vertAlign w:val="subscript"/>
                <w:lang w:val="en-US"/>
              </w:rPr>
              <w:t>i</w:t>
            </w:r>
            <w:r>
              <w:rPr>
                <w:rFonts w:eastAsia="Calibri" w:cs="Calibri"/>
                <w:sz w:val="18"/>
                <w:szCs w:val="18"/>
              </w:rPr>
              <w:t xml:space="preserve"> – коэффициент, пропорциональный объему (по стоимости) предлагаемой Участником в данном статусе продукции (товара).</w:t>
            </w:r>
          </w:p>
          <w:p>
            <w:pPr>
              <w:pStyle w:val="Normal"/>
              <w:widowControl w:val="false"/>
              <w:spacing w:before="40" w:after="40"/>
              <w:rPr>
                <w:rFonts w:eastAsia="Calibri" w:cs="Calibri"/>
                <w:sz w:val="18"/>
                <w:szCs w:val="18"/>
              </w:rPr>
            </w:pPr>
            <w:r>
              <w:rPr>
                <w:rFonts w:eastAsia="Calibri" w:cs="Calibri"/>
                <w:sz w:val="18"/>
                <w:szCs w:val="18"/>
              </w:rPr>
            </w:r>
          </w:p>
          <w:p>
            <w:pPr>
              <w:pStyle w:val="Normal"/>
              <w:widowControl w:val="false"/>
              <w:spacing w:before="40" w:after="40"/>
              <w:jc w:val="both"/>
              <w:rPr>
                <w:rFonts w:eastAsia="Calibri" w:cs="Calibri"/>
                <w:b/>
                <w:sz w:val="18"/>
                <w:szCs w:val="18"/>
              </w:rPr>
            </w:pPr>
            <w:r>
              <w:rPr>
                <w:rFonts w:eastAsia="Calibri" w:cs="Calibri"/>
                <w:b/>
                <w:sz w:val="18"/>
                <w:szCs w:val="18"/>
              </w:rPr>
              <w:t>* В случае если Участник является Коллективным Участником, то осуществляется оценка каждого члена Коллективного Участника (включая лидера Коллективного Участника) с учетом объема (по стоимости) поставки в соответствии с Коммерческим / Техническим предложением и/или с Планом распределения объемов поставки продукции внутри Коллективного Участника, представленными в составе заявки Участника. Оценки каждого члена Коллективного Участника (включая лидера Коллективного Участника) суммируются. При этом итоговая (общая) оценка (итоговый балл) Коллективного Участника по данному критерию присваивается с учетом статуса Лидера Коллективного Участника:</w:t>
            </w:r>
          </w:p>
          <w:p>
            <w:pPr>
              <w:pStyle w:val="Normal"/>
              <w:widowControl w:val="false"/>
              <w:spacing w:before="40" w:after="40"/>
              <w:jc w:val="both"/>
              <w:rPr>
                <w:rFonts w:eastAsia="Calibri" w:cs="Calibri"/>
                <w:b/>
                <w:sz w:val="18"/>
                <w:szCs w:val="18"/>
              </w:rPr>
            </w:pPr>
            <w:r>
              <w:rPr>
                <w:rFonts w:eastAsia="Calibri" w:cs="Calibri"/>
                <w:b/>
                <w:sz w:val="18"/>
                <w:szCs w:val="18"/>
              </w:rPr>
              <w:t>- Лидер Коллективного Участника не является изготовителем (производителем) предлагаемой продукции — итоговый балл не может превышать 2 балла;</w:t>
            </w:r>
          </w:p>
          <w:p>
            <w:pPr>
              <w:pStyle w:val="Normal"/>
              <w:widowControl w:val="false"/>
              <w:spacing w:before="40" w:after="40"/>
              <w:jc w:val="both"/>
              <w:rPr>
                <w:rFonts w:eastAsia="Calibri" w:cs="Calibri"/>
                <w:b/>
                <w:sz w:val="18"/>
                <w:szCs w:val="18"/>
              </w:rPr>
            </w:pPr>
            <w:r>
              <w:rPr>
                <w:rFonts w:eastAsia="Calibri" w:cs="Calibri"/>
                <w:b/>
                <w:sz w:val="18"/>
                <w:szCs w:val="18"/>
              </w:rPr>
              <w:t>- Лидер Коллективного Участника является изготовителем (производителем) предлагаемой продукции — ограничений по итоговому баллу нет.</w:t>
            </w:r>
          </w:p>
          <w:p>
            <w:pPr>
              <w:pStyle w:val="Normal"/>
              <w:widowControl w:val="false"/>
              <w:snapToGrid w:val="false"/>
              <w:spacing w:before="96" w:after="96"/>
              <w:rPr>
                <w:rFonts w:eastAsia="Calibri" w:cs="Calibri"/>
                <w:b/>
                <w:sz w:val="18"/>
                <w:szCs w:val="18"/>
              </w:rPr>
            </w:pPr>
            <w:r>
              <w:rPr>
                <w:rFonts w:eastAsia="Calibri" w:cs="Calibri"/>
                <w:b/>
                <w:sz w:val="18"/>
                <w:szCs w:val="18"/>
              </w:rPr>
              <w:t>Шкала оценок от 0 до 5 баллов.</w:t>
            </w:r>
          </w:p>
          <w:p>
            <w:pPr>
              <w:pStyle w:val="Normal"/>
              <w:widowControl w:val="false"/>
              <w:snapToGrid w:val="false"/>
              <w:spacing w:before="96" w:after="96"/>
              <w:rPr>
                <w:rFonts w:eastAsia="Calibri" w:cs="Calibri"/>
                <w:b/>
                <w:sz w:val="18"/>
                <w:szCs w:val="18"/>
              </w:rPr>
            </w:pPr>
            <w:r>
              <w:rPr>
                <w:rFonts w:eastAsia="Calibri" w:cs="Calibri"/>
                <w:b/>
                <w:sz w:val="18"/>
                <w:szCs w:val="18"/>
              </w:rPr>
            </w:r>
          </w:p>
          <w:p>
            <w:pPr>
              <w:pStyle w:val="Normal"/>
              <w:widowControl w:val="false"/>
              <w:spacing w:before="96" w:after="96"/>
              <w:rPr>
                <w:rFonts w:eastAsia="Calibri" w:cs="Calibri"/>
                <w:b/>
                <w:sz w:val="18"/>
                <w:szCs w:val="18"/>
              </w:rPr>
            </w:pPr>
            <w:r>
              <w:rPr>
                <w:rFonts w:eastAsia="Calibri" w:cs="Calibri"/>
                <w:b/>
                <w:sz w:val="18"/>
                <w:szCs w:val="18"/>
              </w:rPr>
              <w:t>** Такими документами на предлагаемую продукцию могут являться:</w:t>
            </w:r>
          </w:p>
          <w:p>
            <w:pPr>
              <w:pStyle w:val="Normal"/>
              <w:widowControl w:val="false"/>
              <w:spacing w:before="96" w:after="96"/>
              <w:rPr>
                <w:rFonts w:eastAsia="Calibri" w:cs="Calibri"/>
                <w:b/>
                <w:sz w:val="18"/>
                <w:szCs w:val="18"/>
              </w:rPr>
            </w:pPr>
            <w:r>
              <w:rPr>
                <w:rFonts w:eastAsia="Calibri" w:cs="Calibri"/>
                <w:b/>
                <w:sz w:val="18"/>
                <w:szCs w:val="18"/>
              </w:rPr>
              <w:t>а) Сертификат/декларация соответствия и/или;</w:t>
            </w:r>
          </w:p>
          <w:p>
            <w:pPr>
              <w:pStyle w:val="Normal"/>
              <w:widowControl w:val="false"/>
              <w:spacing w:before="96" w:after="96"/>
              <w:rPr>
                <w:rFonts w:eastAsia="Calibri" w:cs="Calibri"/>
                <w:b/>
                <w:sz w:val="18"/>
                <w:szCs w:val="18"/>
              </w:rPr>
            </w:pPr>
            <w:r>
              <w:rPr>
                <w:rFonts w:eastAsia="Calibri" w:cs="Calibri"/>
                <w:b/>
                <w:sz w:val="18"/>
                <w:szCs w:val="18"/>
              </w:rPr>
              <w:t>- Протокол испытаний и/или;</w:t>
            </w:r>
          </w:p>
          <w:p>
            <w:pPr>
              <w:pStyle w:val="Normal"/>
              <w:widowControl w:val="false"/>
              <w:spacing w:before="96" w:after="96"/>
              <w:rPr>
                <w:rFonts w:eastAsia="Calibri" w:cs="Calibri"/>
                <w:b/>
                <w:sz w:val="18"/>
                <w:szCs w:val="18"/>
              </w:rPr>
            </w:pPr>
            <w:r>
              <w:rPr>
                <w:rFonts w:eastAsia="Calibri" w:cs="Calibri"/>
                <w:b/>
                <w:sz w:val="18"/>
                <w:szCs w:val="18"/>
              </w:rPr>
              <w:t>- Сертификат качества и/или;</w:t>
            </w:r>
          </w:p>
          <w:p>
            <w:pPr>
              <w:pStyle w:val="Normal"/>
              <w:widowControl w:val="false"/>
              <w:spacing w:before="96" w:after="96"/>
              <w:rPr>
                <w:rFonts w:eastAsia="Calibri" w:cs="Calibri"/>
                <w:b/>
                <w:sz w:val="18"/>
                <w:szCs w:val="18"/>
              </w:rPr>
            </w:pPr>
            <w:r>
              <w:rPr>
                <w:rFonts w:eastAsia="Calibri" w:cs="Calibri"/>
                <w:b/>
                <w:sz w:val="18"/>
                <w:szCs w:val="18"/>
              </w:rPr>
              <w:t>- Паспорт и/или;</w:t>
            </w:r>
          </w:p>
          <w:p>
            <w:pPr>
              <w:pStyle w:val="Normal"/>
              <w:widowControl w:val="false"/>
              <w:spacing w:before="96" w:after="96"/>
              <w:rPr>
                <w:rFonts w:eastAsia="Calibri" w:cs="Calibri"/>
                <w:b/>
                <w:sz w:val="18"/>
                <w:szCs w:val="18"/>
              </w:rPr>
            </w:pPr>
            <w:r>
              <w:rPr>
                <w:rFonts w:eastAsia="Calibri" w:cs="Calibri"/>
                <w:b/>
                <w:sz w:val="18"/>
                <w:szCs w:val="18"/>
              </w:rPr>
              <w:t>- Технические условия и/или;</w:t>
            </w:r>
          </w:p>
          <w:p>
            <w:pPr>
              <w:pStyle w:val="Normal"/>
              <w:widowControl w:val="false"/>
              <w:spacing w:before="96" w:after="96"/>
              <w:rPr>
                <w:rFonts w:eastAsia="Calibri" w:cs="Calibri"/>
                <w:b/>
                <w:sz w:val="18"/>
                <w:szCs w:val="18"/>
              </w:rPr>
            </w:pPr>
            <w:r>
              <w:rPr>
                <w:rFonts w:eastAsia="Calibri" w:cs="Calibri"/>
                <w:b/>
                <w:sz w:val="18"/>
                <w:szCs w:val="18"/>
              </w:rPr>
              <w:t>- Руководство по эксплуатации и/или;</w:t>
            </w:r>
          </w:p>
          <w:p>
            <w:pPr>
              <w:pStyle w:val="Normal"/>
              <w:widowControl w:val="false"/>
              <w:spacing w:before="96" w:after="96"/>
              <w:rPr>
                <w:rFonts w:eastAsia="Calibri" w:cs="Calibri"/>
                <w:b/>
                <w:sz w:val="18"/>
                <w:szCs w:val="18"/>
              </w:rPr>
            </w:pPr>
            <w:r>
              <w:rPr>
                <w:rFonts w:eastAsia="Calibri" w:cs="Calibri"/>
                <w:b/>
                <w:sz w:val="18"/>
                <w:szCs w:val="18"/>
              </w:rPr>
              <w:t>- Техническое описание и/или;</w:t>
            </w:r>
          </w:p>
          <w:p>
            <w:pPr>
              <w:pStyle w:val="Normal"/>
              <w:widowControl w:val="false"/>
              <w:spacing w:before="96" w:after="96"/>
              <w:rPr>
                <w:rFonts w:eastAsia="Calibri" w:cs="Calibri"/>
                <w:b/>
                <w:sz w:val="18"/>
                <w:szCs w:val="18"/>
              </w:rPr>
            </w:pPr>
            <w:r>
              <w:rPr>
                <w:rFonts w:eastAsia="Calibri" w:cs="Calibri"/>
                <w:b/>
                <w:sz w:val="18"/>
                <w:szCs w:val="18"/>
              </w:rPr>
              <w:t>- Инспекционный (аналитический) отчёт (сертификат) и/или;</w:t>
            </w:r>
          </w:p>
          <w:p>
            <w:pPr>
              <w:pStyle w:val="Normal"/>
              <w:widowControl w:val="false"/>
              <w:spacing w:before="96" w:after="96"/>
              <w:rPr>
                <w:rFonts w:eastAsia="Calibri" w:cs="Calibri"/>
                <w:b/>
                <w:sz w:val="18"/>
                <w:szCs w:val="18"/>
              </w:rPr>
            </w:pPr>
            <w:r>
              <w:rPr>
                <w:rFonts w:eastAsia="Calibri" w:cs="Calibri"/>
                <w:b/>
                <w:sz w:val="18"/>
                <w:szCs w:val="18"/>
              </w:rPr>
              <w:t>- Сертификат отбора проб и анализа (испытаний) и/или;</w:t>
            </w:r>
          </w:p>
          <w:p>
            <w:pPr>
              <w:pStyle w:val="Normal"/>
              <w:widowControl w:val="false"/>
              <w:spacing w:before="96" w:after="96"/>
              <w:rPr>
                <w:rFonts w:eastAsia="Calibri" w:cs="Calibri"/>
                <w:b/>
                <w:sz w:val="18"/>
                <w:szCs w:val="18"/>
              </w:rPr>
            </w:pPr>
            <w:r>
              <w:rPr>
                <w:rFonts w:eastAsia="Calibri" w:cs="Calibri"/>
                <w:b/>
                <w:sz w:val="18"/>
                <w:szCs w:val="18"/>
              </w:rPr>
              <w:t>- Номер реестровой записи из Единого реестра российской радиоэлектронной продукции (ПП РФ 878) и/или;</w:t>
            </w:r>
          </w:p>
          <w:p>
            <w:pPr>
              <w:pStyle w:val="Normal"/>
              <w:widowControl w:val="false"/>
              <w:spacing w:before="96" w:after="96"/>
              <w:rPr>
                <w:rFonts w:eastAsia="Calibri" w:cs="Calibri"/>
                <w:b/>
                <w:sz w:val="18"/>
                <w:szCs w:val="18"/>
              </w:rPr>
            </w:pPr>
            <w:r>
              <w:rPr>
                <w:rFonts w:eastAsia="Calibri" w:cs="Calibri"/>
                <w:b/>
                <w:sz w:val="18"/>
                <w:szCs w:val="18"/>
              </w:rPr>
              <w:t>- Номер реестровой записи из Реестра российской промышленной продукции (ПП РФ 719 от 17.07.2015).</w:t>
            </w:r>
          </w:p>
          <w:p>
            <w:pPr>
              <w:pStyle w:val="Normal"/>
              <w:widowControl w:val="false"/>
              <w:spacing w:before="96" w:after="96"/>
              <w:rPr>
                <w:rFonts w:eastAsia="Calibri" w:cs="Calibri"/>
                <w:b/>
                <w:sz w:val="18"/>
                <w:szCs w:val="18"/>
              </w:rPr>
            </w:pPr>
            <w:r>
              <w:rPr>
                <w:rFonts w:eastAsia="Calibri" w:cs="Calibri"/>
                <w:b/>
                <w:sz w:val="18"/>
                <w:szCs w:val="18"/>
              </w:rPr>
              <w:t>Либо:</w:t>
            </w:r>
          </w:p>
          <w:p>
            <w:pPr>
              <w:pStyle w:val="Normal"/>
              <w:widowControl w:val="false"/>
              <w:spacing w:before="96" w:after="96"/>
              <w:rPr>
                <w:rFonts w:eastAsia="Calibri" w:cs="Calibri"/>
                <w:b/>
                <w:sz w:val="18"/>
                <w:szCs w:val="18"/>
              </w:rPr>
            </w:pPr>
            <w:r>
              <w:rPr>
                <w:rFonts w:eastAsia="Calibri" w:cs="Calibri"/>
                <w:b/>
                <w:sz w:val="18"/>
                <w:szCs w:val="18"/>
              </w:rPr>
              <w:t xml:space="preserve">   </w:t>
            </w:r>
            <w:r>
              <w:rPr>
                <w:rFonts w:eastAsia="Calibri" w:cs="Calibri"/>
                <w:b/>
                <w:sz w:val="18"/>
                <w:szCs w:val="18"/>
              </w:rPr>
              <w:t>б) Иной документ на предлагаемую продукцию, предусмотренный условиями Технических требований Документации о закупке (применяется в исключительных случаях при невозможности применить пункт а));</w:t>
            </w:r>
          </w:p>
        </w:tc>
      </w:tr>
      <w:tr>
        <w:trPr>
          <w:trHeight w:val="240" w:hRule="atLeast"/>
        </w:trPr>
        <w:tc>
          <w:tcPr>
            <w:tcW w:w="179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napToGrid w:val="false"/>
              <w:spacing w:before="120" w:after="0"/>
              <w:jc w:val="center"/>
              <w:rPr>
                <w:rFonts w:eastAsia="Calibri" w:cs="Calibri"/>
                <w:sz w:val="18"/>
                <w:szCs w:val="18"/>
              </w:rPr>
            </w:pPr>
            <w:r>
              <w:rPr>
                <w:rFonts w:eastAsia="Calibri" w:cs="Calibri"/>
                <w:sz w:val="18"/>
                <w:szCs w:val="18"/>
              </w:rPr>
              <w:t>Итоговая оценка предпочтительности заявки:</w:t>
            </w:r>
          </w:p>
        </w:tc>
        <w:tc>
          <w:tcPr>
            <w:tcW w:w="14034" w:type="dxa"/>
            <w:gridSpan w:val="6"/>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120" w:after="0"/>
              <w:jc w:val="both"/>
              <w:rPr>
                <w:rFonts w:eastAsia="Calibri" w:cs="Calibri"/>
                <w:sz w:val="18"/>
                <w:szCs w:val="18"/>
              </w:rPr>
            </w:pPr>
            <w:r>
              <w:rPr>
                <w:rFonts w:eastAsia="Calibri" w:cs="Calibri"/>
                <w:sz w:val="18"/>
                <w:szCs w:val="18"/>
              </w:rPr>
              <w:t>Расчет итоговой оценки предпочтительности:</w:t>
            </w:r>
          </w:p>
          <w:p>
            <w:pPr>
              <w:pStyle w:val="Normal"/>
              <w:widowControl w:val="false"/>
              <w:numPr>
                <w:ilvl w:val="6"/>
                <w:numId w:val="14"/>
              </w:numPr>
              <w:spacing w:lineRule="auto" w:line="259" w:before="0" w:after="160"/>
              <w:jc w:val="center"/>
              <w:rPr>
                <w:rFonts w:eastAsia="Calibri" w:cs="Calibri"/>
                <w:sz w:val="18"/>
                <w:szCs w:val="18"/>
              </w:rPr>
            </w:pPr>
            <w:r>
              <w:rPr/>
            </w:r>
            <m:oMathPara xmlns:m="http://schemas.openxmlformats.org/officeDocument/2006/math">
              <m:oMathParaPr>
                <m:jc m:val="center"/>
              </m:oMathParaPr>
              <m:oMath>
                <m:sSub>
                  <m:e>
                    <m:r>
                      <w:rPr>
                        <w:rFonts w:ascii="Cambria Math" w:hAnsi="Cambria Math"/>
                      </w:rPr>
                      <m:t xml:space="preserve">Б</m:t>
                    </m:r>
                  </m:e>
                  <m:sub>
                    <m:r>
                      <w:rPr>
                        <w:rFonts w:ascii="Cambria Math" w:hAnsi="Cambria Math"/>
                      </w:rPr>
                      <m:t xml:space="preserve">ИТОГ</m:t>
                    </m:r>
                  </m:sub>
                </m:sSub>
                <m:r>
                  <w:rPr>
                    <w:rFonts w:ascii="Cambria Math" w:hAnsi="Cambria Math"/>
                  </w:rPr>
                  <m:t xml:space="preserve">=</m:t>
                </m:r>
                <m:nary>
                  <m:naryPr>
                    <m:chr m:val="∑"/>
                    <m:subHide m:val="1"/>
                    <m:supHide m:val="1"/>
                  </m:naryPr>
                  <m:sub/>
                  <m:sup/>
                  <m:e>
                    <m:d>
                      <m:dPr>
                        <m:begChr m:val="("/>
                        <m:endChr m:val=")"/>
                      </m:dPr>
                      <m:e>
                        <m:sSub>
                          <m:e>
                            <m:r>
                              <w:rPr>
                                <w:rFonts w:ascii="Cambria Math" w:hAnsi="Cambria Math"/>
                              </w:rPr>
                              <m:t xml:space="preserve">Б</m:t>
                            </m:r>
                          </m:e>
                          <m:sub>
                            <m:sSub>
                              <m:e>
                                <m:r>
                                  <w:rPr>
                                    <w:rFonts w:ascii="Cambria Math" w:hAnsi="Cambria Math"/>
                                  </w:rPr>
                                  <m:t xml:space="preserve">iуровень</m:t>
                                </m:r>
                              </m:e>
                              <m:sub>
                                <m:r>
                                  <w:rPr>
                                    <w:rFonts w:ascii="Cambria Math" w:hAnsi="Cambria Math"/>
                                  </w:rPr>
                                  <m:t xml:space="preserve">k</m:t>
                                </m:r>
                              </m:sub>
                            </m:sSub>
                          </m:sub>
                        </m:sSub>
                        <m:r>
                          <w:rPr>
                            <w:rFonts w:ascii="Cambria Math" w:hAnsi="Cambria Math"/>
                          </w:rPr>
                          <m:t xml:space="preserve">×</m:t>
                        </m:r>
                        <m:sSub>
                          <m:e>
                            <m:r>
                              <w:rPr>
                                <w:rFonts w:ascii="Cambria Math" w:hAnsi="Cambria Math"/>
                              </w:rPr>
                              <m:t xml:space="preserve">В</m:t>
                            </m:r>
                          </m:e>
                          <m:sub>
                            <m:sSub>
                              <m:e>
                                <m:r>
                                  <w:rPr>
                                    <w:rFonts w:ascii="Cambria Math" w:hAnsi="Cambria Math"/>
                                  </w:rPr>
                                  <m:t xml:space="preserve">iуровнь</m:t>
                                </m:r>
                              </m:e>
                              <m:sub>
                                <m:r>
                                  <w:rPr>
                                    <w:rFonts w:ascii="Cambria Math" w:hAnsi="Cambria Math"/>
                                  </w:rPr>
                                  <m:t xml:space="preserve">k</m:t>
                                </m:r>
                              </m:sub>
                            </m:sSub>
                          </m:sub>
                        </m:sSub>
                      </m:e>
                    </m:d>
                  </m:e>
                </m:nary>
                <m:r>
                  <w:rPr>
                    <w:rFonts w:ascii="Cambria Math" w:hAnsi="Cambria Math"/>
                  </w:rPr>
                  <m:t xml:space="preserve">,</m:t>
                </m:r>
              </m:oMath>
            </m:oMathPara>
          </w:p>
          <w:p>
            <w:pPr>
              <w:pStyle w:val="Normal"/>
              <w:keepNext w:val="true"/>
              <w:widowControl w:val="false"/>
              <w:ind w:left="1701" w:hanging="0"/>
              <w:jc w:val="both"/>
              <w:rPr>
                <w:rFonts w:eastAsia="Calibri" w:cs="Calibri"/>
                <w:sz w:val="18"/>
                <w:szCs w:val="18"/>
              </w:rPr>
            </w:pPr>
            <w:r>
              <w:rPr>
                <w:rFonts w:eastAsia="Calibri" w:cs="Calibri"/>
                <w:sz w:val="18"/>
                <w:szCs w:val="18"/>
              </w:rPr>
              <w:t>где:</w:t>
            </w:r>
          </w:p>
          <w:p>
            <w:pPr>
              <w:pStyle w:val="Normal"/>
              <w:widowControl w:val="false"/>
              <w:numPr>
                <w:ilvl w:val="6"/>
                <w:numId w:val="14"/>
              </w:numPr>
              <w:tabs>
                <w:tab w:val="clear" w:pos="708"/>
                <w:tab w:val="left" w:pos="884" w:leader="none"/>
              </w:tabs>
              <w:spacing w:lineRule="auto" w:line="259" w:before="0" w:after="160"/>
              <w:ind w:left="1167" w:hanging="1134"/>
              <w:jc w:val="both"/>
              <w:rPr>
                <w:rFonts w:eastAsia="Calibri" w:cs="Calibri"/>
                <w:sz w:val="18"/>
                <w:szCs w:val="18"/>
              </w:rPr>
            </w:pPr>
            <w:r>
              <w:rPr>
                <w:rFonts w:eastAsia="Calibri" w:cs="Calibri"/>
                <w:sz w:val="18"/>
                <w:szCs w:val="18"/>
              </w:rPr>
              <w:t>Б</w:t>
            </w:r>
            <w:r>
              <w:rPr>
                <w:rFonts w:eastAsia="Calibri" w:cs="Calibri"/>
                <w:sz w:val="18"/>
                <w:szCs w:val="18"/>
                <w:vertAlign w:val="subscript"/>
              </w:rPr>
              <w:t>ИТОГ</w:t>
            </w:r>
            <w:r>
              <w:rPr>
                <w:rFonts w:eastAsia="Calibri" w:cs="Calibri"/>
                <w:sz w:val="18"/>
                <w:szCs w:val="18"/>
              </w:rPr>
              <w:tab/>
              <w:t>–</w:t>
              <w:tab/>
              <w:t>рассчитанная итоговая оценка предпочтительности в баллах по установленной в документации о закупке шкале оценок;</w:t>
            </w:r>
          </w:p>
          <w:p>
            <w:pPr>
              <w:pStyle w:val="Normal"/>
              <w:widowControl w:val="false"/>
              <w:numPr>
                <w:ilvl w:val="6"/>
                <w:numId w:val="14"/>
              </w:numPr>
              <w:tabs>
                <w:tab w:val="clear" w:pos="708"/>
                <w:tab w:val="left" w:pos="884" w:leader="none"/>
              </w:tabs>
              <w:spacing w:lineRule="auto" w:line="259" w:before="0" w:after="160"/>
              <w:ind w:left="1167" w:hanging="1134"/>
              <w:jc w:val="both"/>
              <w:rPr>
                <w:rFonts w:eastAsia="Calibri" w:cs="Calibri"/>
                <w:sz w:val="18"/>
                <w:szCs w:val="18"/>
              </w:rPr>
            </w:pPr>
            <w:r>
              <w:rPr>
                <w:rFonts w:eastAsia="Calibri" w:cs="Calibri"/>
                <w:sz w:val="18"/>
                <w:szCs w:val="18"/>
              </w:rPr>
              <w:t>Б</w:t>
            </w:r>
            <w:r>
              <w:rPr>
                <w:rFonts w:eastAsia="Calibri" w:cs="Calibri"/>
                <w:sz w:val="18"/>
                <w:szCs w:val="18"/>
                <w:vertAlign w:val="subscript"/>
                <w:lang w:val="en-US"/>
              </w:rPr>
              <w:t>i </w:t>
            </w:r>
            <w:r>
              <w:rPr>
                <w:rFonts w:eastAsia="Calibri" w:cs="Calibri"/>
                <w:sz w:val="18"/>
                <w:szCs w:val="18"/>
                <w:vertAlign w:val="subscript"/>
              </w:rPr>
              <w:t>уровень </w:t>
            </w:r>
            <w:r>
              <w:rPr>
                <w:rFonts w:eastAsia="Calibri" w:cs="Calibri"/>
                <w:sz w:val="18"/>
                <w:szCs w:val="18"/>
                <w:vertAlign w:val="subscript"/>
                <w:lang w:val="en-US"/>
              </w:rPr>
              <w:t>k</w:t>
            </w:r>
            <w:r>
              <w:rPr>
                <w:rFonts w:eastAsia="Calibri" w:cs="Calibri"/>
                <w:sz w:val="18"/>
                <w:szCs w:val="18"/>
              </w:rPr>
              <w:tab/>
              <w:t>–</w:t>
              <w:tab/>
              <w:t xml:space="preserve">оценка предпочтительности по </w:t>
            </w:r>
            <w:r>
              <w:rPr>
                <w:rFonts w:eastAsia="Calibri" w:cs="Calibri"/>
                <w:sz w:val="18"/>
                <w:szCs w:val="18"/>
                <w:lang w:val="en-US"/>
              </w:rPr>
              <w:t>k</w:t>
            </w:r>
            <w:r>
              <w:rPr>
                <w:rFonts w:eastAsia="Calibri" w:cs="Calibri"/>
                <w:sz w:val="18"/>
                <w:szCs w:val="18"/>
              </w:rPr>
              <w:t>-тому критерию оценки первого уровня в баллах;</w:t>
            </w:r>
          </w:p>
          <w:p>
            <w:pPr>
              <w:pStyle w:val="Normal"/>
              <w:widowControl w:val="false"/>
              <w:jc w:val="both"/>
              <w:rPr>
                <w:rFonts w:eastAsia="Calibri" w:cs="Calibri"/>
                <w:sz w:val="18"/>
                <w:szCs w:val="18"/>
              </w:rPr>
            </w:pPr>
            <w:r>
              <w:rPr>
                <w:rFonts w:eastAsia="Calibri" w:cs="Calibri"/>
                <w:sz w:val="18"/>
                <w:szCs w:val="18"/>
              </w:rPr>
              <w:t>В</w:t>
            </w:r>
            <w:r>
              <w:rPr>
                <w:rFonts w:eastAsia="Calibri" w:cs="Calibri"/>
                <w:sz w:val="18"/>
                <w:szCs w:val="18"/>
                <w:vertAlign w:val="subscript"/>
              </w:rPr>
              <w:t>i уровень </w:t>
            </w:r>
            <w:r>
              <w:rPr>
                <w:rFonts w:eastAsia="Calibri" w:cs="Calibri"/>
                <w:sz w:val="18"/>
                <w:szCs w:val="18"/>
                <w:vertAlign w:val="subscript"/>
                <w:lang w:val="en-US"/>
              </w:rPr>
              <w:t>k</w:t>
            </w:r>
            <w:r>
              <w:rPr>
                <w:rFonts w:eastAsia="Calibri" w:cs="Calibri"/>
                <w:sz w:val="18"/>
                <w:szCs w:val="18"/>
              </w:rPr>
              <w:tab/>
              <w:t>–</w:t>
              <w:tab/>
              <w:t xml:space="preserve">значимость </w:t>
            </w:r>
            <w:r>
              <w:rPr>
                <w:rFonts w:eastAsia="Calibri" w:cs="Calibri"/>
                <w:sz w:val="18"/>
                <w:szCs w:val="18"/>
                <w:lang w:val="en-US"/>
              </w:rPr>
              <w:t>k</w:t>
            </w:r>
            <w:r>
              <w:rPr>
                <w:rFonts w:eastAsia="Calibri" w:cs="Calibri"/>
                <w:sz w:val="18"/>
                <w:szCs w:val="18"/>
              </w:rPr>
              <w:t xml:space="preserve">-ого критерия оценки первого уровня, выраженная в диапазоне от 1% до 100% (или от 0,01 до 1,00) – вес </w:t>
            </w:r>
            <w:r>
              <w:rPr>
                <w:rFonts w:eastAsia="Calibri" w:cs="Calibri"/>
                <w:sz w:val="18"/>
                <w:szCs w:val="18"/>
                <w:lang w:val="en-US"/>
              </w:rPr>
              <w:t>k</w:t>
            </w:r>
            <w:r>
              <w:rPr>
                <w:rFonts w:eastAsia="Calibri" w:cs="Calibri"/>
                <w:sz w:val="18"/>
                <w:szCs w:val="18"/>
              </w:rPr>
              <w:t>-ого критерия оценки первого уровня.</w:t>
            </w:r>
          </w:p>
          <w:p>
            <w:pPr>
              <w:pStyle w:val="Normal"/>
              <w:widowControl w:val="false"/>
              <w:spacing w:lineRule="auto" w:line="252" w:before="96" w:after="96"/>
              <w:jc w:val="both"/>
              <w:rPr>
                <w:rFonts w:eastAsia="Calibri" w:cs="Calibri"/>
                <w:sz w:val="18"/>
                <w:szCs w:val="18"/>
              </w:rPr>
            </w:pPr>
            <w:r>
              <w:rPr>
                <w:rFonts w:eastAsia="Calibri" w:cs="Calibri"/>
                <w:i/>
                <w:iCs/>
                <w:sz w:val="18"/>
                <w:szCs w:val="18"/>
              </w:rPr>
              <w:t>Расчет значений баллов по частным / обобщенным критериям оценки, а также итогового балла (итоговой оценки предпочтительности) производится до четвертого знака после запятой (в соответствии с математическими правилами округления).</w:t>
            </w:r>
            <w:bookmarkStart w:id="403" w:name="Финсостояние"/>
            <w:bookmarkEnd w:id="403"/>
          </w:p>
        </w:tc>
      </w:tr>
    </w:tbl>
    <w:p>
      <w:pPr>
        <w:pStyle w:val="Style29"/>
        <w:rPr/>
      </w:pPr>
      <w:r>
        <w:rPr/>
      </w:r>
    </w:p>
    <w:p>
      <w:pPr>
        <w:pStyle w:val="Normal"/>
        <w:rPr/>
      </w:pPr>
      <w:r>
        <w:rPr/>
      </w:r>
    </w:p>
    <w:p>
      <w:pPr>
        <w:pStyle w:val="Style25"/>
        <w:rPr/>
      </w:pPr>
      <w:r>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на одной ветке иерархии составляет 100%. Вычисление оценки предпочтительности по каждому критерию и итоговой оценки предпочтительности заявки производится с точностью до десятитысячного балла.</w:t>
      </w:r>
    </w:p>
    <w:p>
      <w:pPr>
        <w:pStyle w:val="Style25"/>
        <w:rPr/>
      </w:pPr>
      <w:r>
        <w:rPr/>
        <w:t>В установленных случаях оценка и сопоставление заявок производится с учетом предоставления национального режима в соответствии с порядком, предусмотренном подразделом </w:t>
      </w:r>
      <w:r>
        <w:rPr/>
        <w:fldChar w:fldCharType="begin"/>
      </w:r>
      <w:r>
        <w:rPr/>
        <w:instrText xml:space="preserve"> REF _Ref130985951 \r \h </w:instrText>
      </w:r>
      <w:r>
        <w:rPr/>
        <w:fldChar w:fldCharType="separate"/>
      </w:r>
      <w:r>
        <w:rPr/>
        <w:t>4.13</w:t>
      </w:r>
      <w:r>
        <w:rPr/>
        <w:fldChar w:fldCharType="end"/>
      </w:r>
      <w:r>
        <w:rPr/>
        <w:t>.</w:t>
      </w:r>
    </w:p>
    <w:p>
      <w:pPr>
        <w:pStyle w:val="Style25"/>
        <w:rPr/>
      </w:pPr>
      <w:r>
        <w:rPr/>
        <w:t>Заявки участников (из числа успешно прошедших отборочную стадию) ранжируются по количеству набранных баллов (от наибольшего к наименьшему), присвоенных заявкам по результатам оценки.</w:t>
      </w:r>
    </w:p>
    <w:p>
      <w:pPr>
        <w:pStyle w:val="Normal"/>
        <w:tabs>
          <w:tab w:val="clear" w:pos="708"/>
          <w:tab w:val="left" w:pos="3308" w:leader="none"/>
        </w:tabs>
        <w:rPr/>
      </w:pPr>
      <w:r>
        <w:rPr/>
      </w:r>
    </w:p>
    <w:p>
      <w:pPr>
        <w:sectPr>
          <w:headerReference w:type="default" r:id="rId37"/>
          <w:headerReference w:type="first" r:id="rId38"/>
          <w:footerReference w:type="default" r:id="rId39"/>
          <w:footerReference w:type="first" r:id="rId40"/>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Style w:val="Normal"/>
        <w:tabs>
          <w:tab w:val="clear" w:pos="708"/>
          <w:tab w:val="left" w:pos="3308" w:leader="none"/>
        </w:tabs>
        <w:rPr/>
      </w:pPr>
      <w:r>
        <w:rPr/>
        <w:tab/>
      </w:r>
    </w:p>
    <w:p>
      <w:pPr>
        <w:pStyle w:val="Style23"/>
        <w:rPr/>
      </w:pPr>
      <w:bookmarkStart w:id="404" w:name="_Ref125360420"/>
      <w:bookmarkStart w:id="405" w:name="Прил09_ОбоснованиеНМЦ"/>
      <w:bookmarkStart w:id="406" w:name="_Toc220501033"/>
      <w:bookmarkStart w:id="407" w:name="_Toc136249260"/>
      <w:bookmarkStart w:id="408" w:name="_Toc136261689"/>
      <w:bookmarkStart w:id="409" w:name="_Toc136261766"/>
      <w:bookmarkStart w:id="410" w:name="_Toc136249261"/>
      <w:bookmarkStart w:id="411" w:name="_Toc136261690"/>
      <w:bookmarkStart w:id="412" w:name="_Toc136261767"/>
      <w:bookmarkStart w:id="413" w:name="_Toc136249262"/>
      <w:bookmarkStart w:id="414" w:name="_Toc136261691"/>
      <w:bookmarkStart w:id="415" w:name="_Toc136261768"/>
      <w:bookmarkStart w:id="416" w:name="_Toc136249263"/>
      <w:bookmarkStart w:id="417" w:name="_Toc136261692"/>
      <w:bookmarkStart w:id="418" w:name="_Toc136261769"/>
      <w:bookmarkEnd w:id="407"/>
      <w:bookmarkEnd w:id="408"/>
      <w:bookmarkEnd w:id="409"/>
      <w:bookmarkEnd w:id="410"/>
      <w:bookmarkEnd w:id="411"/>
      <w:bookmarkEnd w:id="412"/>
      <w:bookmarkEnd w:id="413"/>
      <w:bookmarkEnd w:id="414"/>
      <w:bookmarkEnd w:id="415"/>
      <w:bookmarkEnd w:id="416"/>
      <w:bookmarkEnd w:id="417"/>
      <w:bookmarkEnd w:id="418"/>
      <w:r>
        <w:rPr/>
        <w:t>Приложение № 9 – Обоснование НМЦ</w:t>
      </w:r>
      <w:bookmarkEnd w:id="404"/>
      <w:bookmarkEnd w:id="405"/>
      <w:bookmarkEnd w:id="406"/>
    </w:p>
    <w:p>
      <w:pPr>
        <w:pStyle w:val="Style24"/>
        <w:rPr/>
      </w:pPr>
      <w:bookmarkStart w:id="419" w:name="_Toc220501034"/>
      <w:r>
        <w:rPr/>
        <w:t>Пояснения к Обоснованию НМЦ</w:t>
      </w:r>
      <w:bookmarkEnd w:id="419"/>
    </w:p>
    <w:p>
      <w:pPr>
        <w:pStyle w:val="Style25"/>
        <w:rPr/>
      </w:pPr>
      <w:r>
        <w:rPr/>
        <w:t>Обоснование НМЦ приведено в отдельном файле (предоставляется отдельным документом в составе Документации о закупке), являющимся Приложением № 9 к Документации о закупке.</w:t>
      </w:r>
    </w:p>
    <w:p>
      <w:pPr>
        <w:pStyle w:val="Style23"/>
        <w:rPr/>
      </w:pPr>
      <w:bookmarkStart w:id="420" w:name="_Toc220501035"/>
      <w:bookmarkStart w:id="421" w:name="Прил10_ЗаявкаНаАккредитацию"/>
      <w:bookmarkEnd w:id="421"/>
      <w:r>
        <w:rPr/>
        <w:t>Приложение № 10 – Форма Заявки на аккредитацию</w:t>
      </w:r>
      <w:bookmarkEnd w:id="420"/>
    </w:p>
    <w:p>
      <w:pPr>
        <w:pStyle w:val="Style24"/>
        <w:rPr/>
      </w:pPr>
      <w:bookmarkStart w:id="422" w:name="_Toc220501036"/>
      <w:r>
        <w:rPr/>
        <w:t>Пояснения к форме Заявки на аккредитацию</w:t>
      </w:r>
      <w:bookmarkEnd w:id="422"/>
    </w:p>
    <w:p>
      <w:pPr>
        <w:pStyle w:val="Style25"/>
        <w:rPr/>
      </w:pPr>
      <w:r>
        <w:rPr/>
        <w:t>Форма Заявки на аккредитацию приведена в отдельном файле (предоставляется отдельным документом в составе Документации о закупке), являющимся Приложением № 10 к Документации о закупке.</w:t>
      </w:r>
    </w:p>
    <w:p>
      <w:pPr>
        <w:pStyle w:val="Style29"/>
        <w:jc w:val="center"/>
        <w:rPr/>
      </w:pPr>
      <w:r>
        <w:rPr/>
      </w:r>
    </w:p>
    <w:sectPr>
      <w:headerReference w:type="default" r:id="rId41"/>
      <w:headerReference w:type="first" r:id="rId42"/>
      <w:footerReference w:type="default" r:id="rId43"/>
      <w:footerReference w:type="first" r:id="rId44"/>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Segoe UI">
    <w:charset w:val="01"/>
    <w:family w:val="roman"/>
    <w:pitch w:val="variable"/>
  </w:font>
  <w:font w:name="Liberation Sans">
    <w:altName w:val="Arial"/>
    <w:charset w:val="01"/>
    <w:family w:val="roman"/>
    <w:pitch w:val="variable"/>
  </w:font>
  <w:font w:name="Calibri">
    <w:charset w:val="01"/>
    <w:family w:val="roman"/>
    <w:pitch w:val="variable"/>
  </w:font>
  <w:font w:name="Wingdings 3">
    <w:charset w:val="02"/>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jc w:val="right"/>
      <w:rPr/>
    </w:pPr>
    <w:r>
      <w:rPr/>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402087111"/>
    </w:sdtPr>
    <w:sdtContent>
      <w:p>
        <w:pPr>
          <w:pStyle w:val="Footer"/>
          <w:spacing w:before="120" w:after="0"/>
          <w:rPr/>
        </w:pPr>
        <w:r>
          <w:rPr/>
          <w:fldChar w:fldCharType="begin"/>
        </w:r>
        <w:r>
          <w:rPr/>
          <w:instrText xml:space="preserve"> PAGE </w:instrText>
        </w:r>
        <w:r>
          <w:rPr/>
          <w:fldChar w:fldCharType="separate"/>
        </w:r>
        <w:r>
          <w:rPr/>
          <w:t>66</w:t>
        </w:r>
        <w:r>
          <w:rPr/>
          <w:fldChar w:fldCharType="end"/>
        </w:r>
      </w:p>
    </w:sdtContent>
  </w:sdt>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663406041"/>
    </w:sdtPr>
    <w:sdtContent>
      <w:p>
        <w:pPr>
          <w:pStyle w:val="Footer"/>
          <w:spacing w:before="120" w:after="0"/>
          <w:rPr/>
        </w:pPr>
        <w:r>
          <w:rPr/>
          <w:fldChar w:fldCharType="begin"/>
        </w:r>
        <w:r>
          <w:rPr/>
          <w:instrText xml:space="preserve"> PAGE </w:instrText>
        </w:r>
        <w:r>
          <w:rPr/>
          <w:fldChar w:fldCharType="separate"/>
        </w:r>
        <w:r>
          <w:rPr/>
          <w:t>73</w:t>
        </w:r>
        <w:r>
          <w:rPr/>
          <w:fldChar w:fldCharType="end"/>
        </w:r>
      </w:p>
    </w:sdtContent>
  </w:sdt>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570210417"/>
    </w:sdtPr>
    <w:sdtContent>
      <w:p>
        <w:pPr>
          <w:pStyle w:val="Footer"/>
          <w:spacing w:before="120" w:after="0"/>
          <w:rPr/>
        </w:pPr>
        <w:r>
          <w:rPr/>
          <w:fldChar w:fldCharType="begin"/>
        </w:r>
        <w:r>
          <w:rPr/>
          <w:instrText xml:space="preserve"> PAGE </w:instrText>
        </w:r>
        <w:r>
          <w:rPr/>
          <w:fldChar w:fldCharType="separate"/>
        </w:r>
        <w:r>
          <w:rPr/>
          <w:t>78</w:t>
        </w:r>
        <w:r>
          <w:rPr/>
          <w:fldChar w:fldCharType="end"/>
        </w:r>
      </w:p>
    </w:sdtContent>
  </w:sdt>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263989485"/>
    </w:sdtPr>
    <w:sdtContent>
      <w:p>
        <w:pPr>
          <w:pStyle w:val="Footer"/>
          <w:spacing w:before="120" w:after="0"/>
          <w:rPr/>
        </w:pPr>
        <w:r>
          <w:rPr/>
          <w:fldChar w:fldCharType="begin"/>
        </w:r>
        <w:r>
          <w:rPr/>
          <w:instrText xml:space="preserve"> PAGE </w:instrText>
        </w:r>
        <w:r>
          <w:rPr/>
          <w:fldChar w:fldCharType="separate"/>
        </w:r>
        <w:r>
          <w:rPr/>
          <w:t>80</w:t>
        </w:r>
        <w:r>
          <w:rPr/>
          <w:fldChar w:fldCharType="end"/>
        </w:r>
      </w:p>
    </w:sdtContent>
  </w:sdt>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521215437"/>
    </w:sdtPr>
    <w:sdtContent>
      <w:p>
        <w:pPr>
          <w:pStyle w:val="Footer"/>
          <w:spacing w:before="120" w:after="0"/>
          <w:rPr/>
        </w:pPr>
        <w:r>
          <w:rPr/>
          <w:fldChar w:fldCharType="begin"/>
        </w:r>
        <w:r>
          <w:rPr/>
          <w:instrText xml:space="preserve"> PAGE </w:instrText>
        </w:r>
        <w:r>
          <w:rPr/>
          <w:fldChar w:fldCharType="separate"/>
        </w:r>
        <w:r>
          <w:rPr/>
          <w:t>14</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925362659"/>
    </w:sdtPr>
    <w:sdtContent>
      <w:p>
        <w:pPr>
          <w:pStyle w:val="Footer"/>
          <w:spacing w:before="120" w:after="0"/>
          <w:rPr/>
        </w:pPr>
        <w:r>
          <w:rPr/>
          <w:fldChar w:fldCharType="begin"/>
        </w:r>
        <w:r>
          <w:rPr/>
          <w:instrText xml:space="preserve"> PAGE </w:instrText>
        </w:r>
        <w:r>
          <w:rPr/>
          <w:fldChar w:fldCharType="separate"/>
        </w:r>
        <w:r>
          <w:rPr/>
          <w:t>24</w:t>
        </w:r>
        <w:r>
          <w:rPr/>
          <w:fldChar w:fldCharType="end"/>
        </w:r>
      </w:p>
    </w:sdtContent>
  </w:sdt>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899628998"/>
    </w:sdtPr>
    <w:sdtContent>
      <w:p>
        <w:pPr>
          <w:pStyle w:val="Footer"/>
          <w:spacing w:before="120" w:after="0"/>
          <w:rPr/>
        </w:pPr>
        <w:r>
          <w:rPr/>
          <w:fldChar w:fldCharType="begin"/>
        </w:r>
        <w:r>
          <w:rPr/>
          <w:instrText xml:space="preserve"> PAGE </w:instrText>
        </w:r>
        <w:r>
          <w:rPr/>
          <w:fldChar w:fldCharType="separate"/>
        </w:r>
        <w:r>
          <w:rPr/>
          <w:t>53</w:t>
        </w:r>
        <w:r>
          <w:rPr/>
          <w:fldChar w:fldCharType="end"/>
        </w:r>
      </w:p>
    </w:sdtContent>
  </w:sdt>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643734672"/>
    </w:sdtPr>
    <w:sdtContent>
      <w:p>
        <w:pPr>
          <w:pStyle w:val="Footer"/>
          <w:spacing w:before="120" w:after="0"/>
          <w:rPr/>
        </w:pPr>
        <w:r>
          <w:rPr/>
          <w:fldChar w:fldCharType="begin"/>
        </w:r>
        <w:r>
          <w:rPr/>
          <w:instrText xml:space="preserve"> PAGE </w:instrText>
        </w:r>
        <w:r>
          <w:rPr/>
          <w:fldChar w:fldCharType="separate"/>
        </w:r>
        <w:r>
          <w:rPr/>
          <w:t>60</w:t>
        </w:r>
        <w:r>
          <w:rPr/>
          <w:fldChar w:fldCharType="end"/>
        </w:r>
      </w:p>
    </w:sdtContent>
  </w:sdt>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31"/>
        <w:spacing w:before="80" w:after="0"/>
        <w:ind w:left="567" w:hanging="567"/>
        <w:jc w:val="both"/>
        <w:rPr/>
      </w:pPr>
      <w:r>
        <w:rPr>
          <w:rStyle w:val="Style13"/>
        </w:rPr>
        <w:footnoteRef/>
      </w:r>
      <w:r>
        <w:rPr/>
        <w:tab/>
        <w:t>Информационной Системой ЭДО ПАО «РусГидро» является «Диадок», с оператором которой ЗАО «ПФ «СКБ» Контур» заключено Соглашение о переходе на юридически значимый документооборот.</w:t>
      </w:r>
    </w:p>
  </w:footnote>
  <w:footnote w:id="3">
    <w:p>
      <w:pPr>
        <w:pStyle w:val="Style31"/>
        <w:spacing w:before="80" w:after="0"/>
        <w:ind w:left="567" w:hanging="567"/>
        <w:jc w:val="both"/>
        <w:rPr/>
      </w:pPr>
      <w:r>
        <w:rPr>
          <w:rStyle w:val="Style13"/>
        </w:rPr>
        <w:footnoteRef/>
      </w:r>
      <w:r>
        <w:rPr/>
        <w:tab/>
        <w:t>Определенные в соответствии с Законом 422-ФЗ.</w:t>
      </w:r>
    </w:p>
  </w:footnote>
  <w:footnote w:id="4">
    <w:p>
      <w:pPr>
        <w:pStyle w:val="Style31"/>
        <w:spacing w:before="80" w:after="0"/>
        <w:ind w:left="567" w:hanging="567"/>
        <w:jc w:val="both"/>
        <w:rPr/>
      </w:pPr>
      <w:r>
        <w:rPr>
          <w:rStyle w:val="Style13"/>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5">
    <w:p>
      <w:pPr>
        <w:pStyle w:val="Style31"/>
        <w:spacing w:before="80" w:after="0"/>
        <w:ind w:left="567" w:hanging="567"/>
        <w:jc w:val="both"/>
        <w:rPr/>
      </w:pPr>
      <w:r>
        <w:rPr>
          <w:rStyle w:val="Style13"/>
        </w:rPr>
        <w:footnoteRef/>
      </w:r>
      <w:r>
        <w:rPr/>
        <w:tab/>
        <w:t>При этом отклонение заявки за отсутствие в ней документов, требующихся исключительно для целей оценки и сопоставления заявок (подраздел </w:t>
      </w:r>
      <w:r>
        <w:rPr/>
        <w:fldChar w:fldCharType="begin"/>
      </w:r>
      <w:r>
        <w:rPr/>
        <w:instrText xml:space="preserve"> REF _Ref125362626 \w \h </w:instrText>
      </w:r>
      <w:r>
        <w:rPr/>
        <w:fldChar w:fldCharType="separate"/>
      </w:r>
      <w:r>
        <w:rPr/>
        <w:t>4.12</w:t>
      </w:r>
      <w:r>
        <w:rPr/>
        <w:fldChar w:fldCharType="end"/>
      </w:r>
      <w:r>
        <w:rPr/>
        <w:t>), не допускается.</w:t>
      </w:r>
    </w:p>
  </w:footnote>
  <w:footnote w:id="6">
    <w:p>
      <w:pPr>
        <w:pStyle w:val="Style31"/>
        <w:spacing w:before="80" w:after="0"/>
        <w:ind w:left="567" w:hanging="567"/>
        <w:jc w:val="both"/>
        <w:rPr/>
      </w:pPr>
      <w:r>
        <w:rPr>
          <w:rStyle w:val="Style13"/>
        </w:rPr>
        <w:footnoteRef/>
      </w:r>
      <w:r>
        <w:rPr/>
        <w:tab/>
        <w:t>С учетом пункта 4.13.5.</w:t>
      </w:r>
    </w:p>
  </w:footnote>
  <w:footnote w:id="7">
    <w:p>
      <w:pPr>
        <w:pStyle w:val="Style31"/>
        <w:spacing w:before="80" w:after="0"/>
        <w:ind w:left="567" w:hanging="567"/>
        <w:jc w:val="both"/>
        <w:rPr/>
      </w:pPr>
      <w:r>
        <w:rPr>
          <w:rStyle w:val="Style13"/>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8">
    <w:p>
      <w:pPr>
        <w:pStyle w:val="Style31"/>
        <w:spacing w:before="80" w:after="0"/>
        <w:ind w:left="567" w:hanging="567"/>
        <w:jc w:val="both"/>
        <w:rPr/>
      </w:pPr>
      <w:r>
        <w:rPr>
          <w:rStyle w:val="Style13"/>
        </w:rPr>
        <w:footnoteRef/>
      </w:r>
      <w:r>
        <w:rPr/>
        <w:tab/>
        <w:t>В отношении предоставляемой Участником (в целях обеспечения проведения оценки его финансового состояния (устойчивости) в соответствии с Положением об аккредитации) бухгалтерской (финансовой) отчетности самостоятельные исправления арифметических ошибок не допускается (все изменения в отчетность должны вноситься в установленном законодательством порядке).</w:t>
      </w:r>
    </w:p>
  </w:footnote>
  <w:footnote w:id="9">
    <w:p>
      <w:pPr>
        <w:pStyle w:val="Style31"/>
        <w:spacing w:before="80" w:after="0"/>
        <w:ind w:left="567" w:hanging="567"/>
        <w:jc w:val="both"/>
        <w:rPr/>
      </w:pPr>
      <w:r>
        <w:rPr>
          <w:rStyle w:val="Style13"/>
        </w:rPr>
        <w:footnoteRef/>
      </w:r>
      <w:r>
        <w:rPr/>
        <w:tab/>
        <w:t>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p>
  </w:footnote>
  <w:footnote w:id="10">
    <w:p>
      <w:pPr>
        <w:pStyle w:val="Style31"/>
        <w:spacing w:before="80" w:after="0"/>
        <w:ind w:left="567" w:hanging="567"/>
        <w:jc w:val="both"/>
        <w:rPr/>
      </w:pPr>
      <w:r>
        <w:rPr>
          <w:rStyle w:val="Style13"/>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11">
    <w:p>
      <w:pPr>
        <w:pStyle w:val="Style31"/>
        <w:spacing w:before="80" w:after="0"/>
        <w:ind w:left="567" w:hanging="567"/>
        <w:jc w:val="both"/>
        <w:rPr/>
      </w:pPr>
      <w:r>
        <w:rPr>
          <w:rStyle w:val="Style13"/>
        </w:rPr>
        <w:footnoteRef/>
      </w:r>
      <w:r>
        <w:rPr/>
        <w:tab/>
        <w:t>https://minfin.gov.ru/ru/perfomance/tax_relations/policy/bankwarranty/</w:t>
      </w:r>
    </w:p>
  </w:footnote>
  <w:footnote w:id="12">
    <w:p>
      <w:pPr>
        <w:pStyle w:val="Style31"/>
        <w:spacing w:before="80" w:after="0"/>
        <w:ind w:left="567" w:hanging="567"/>
        <w:jc w:val="both"/>
        <w:rPr/>
      </w:pPr>
      <w:r>
        <w:rPr>
          <w:rStyle w:val="Style13"/>
        </w:rPr>
        <w:footnoteRef/>
      </w:r>
      <w:r>
        <w:rPr/>
        <w:tab/>
        <w:t>Коллективный участник предоставляет указанные документы на каждого члена.</w:t>
      </w:r>
    </w:p>
  </w:footnote>
  <w:footnote w:id="13">
    <w:p>
      <w:pPr>
        <w:pStyle w:val="Style31"/>
        <w:spacing w:before="80" w:after="0"/>
        <w:ind w:left="567" w:hanging="567"/>
        <w:jc w:val="both"/>
        <w:rPr/>
      </w:pPr>
      <w:r>
        <w:rPr>
          <w:rStyle w:val="Style13"/>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14">
    <w:p>
      <w:pPr>
        <w:pStyle w:val="Style31"/>
        <w:spacing w:before="80" w:after="0"/>
        <w:ind w:left="567" w:hanging="567"/>
        <w:jc w:val="both"/>
        <w:rPr/>
      </w:pPr>
      <w:r>
        <w:rPr>
          <w:rStyle w:val="Style13"/>
        </w:rPr>
        <w:footnoteRef/>
      </w:r>
      <w:bookmarkStart w:id="423" w:name="_Hlk139028796_Копия_1_Копия_1_Копия_1_Ко"/>
      <w:r>
        <w:rPr/>
        <w:tab/>
        <w:t>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bookmarkEnd w:id="423"/>
    </w:p>
  </w:footnote>
  <w:footnote w:id="15">
    <w:p>
      <w:pPr>
        <w:pStyle w:val="Style31"/>
        <w:spacing w:before="80" w:after="0"/>
        <w:ind w:left="567" w:hanging="567"/>
        <w:jc w:val="both"/>
        <w:rPr/>
      </w:pPr>
      <w:r>
        <w:rPr>
          <w:rStyle w:val="Style13"/>
        </w:rPr>
        <w:footnoteRef/>
      </w:r>
      <w:bookmarkStart w:id="424" w:name="_Hlk139028803_Копия_1_Копия_1_Копия_1_Ко"/>
      <w:bookmarkStart w:id="425" w:name="_Hlk139028804_Копия_1_Копия_1_Копия_1_Ко"/>
      <w:r>
        <w:rPr/>
        <w:tab/>
        <w:t>Перед заключением договора Заказчик дополнительно проводит проверку Победителя (данная норма применима также в отношении Единственного участника несостоявшейся закупки, с которым принято решение о заключении договора) на основании документов, предоставляемых в соответствии с подразделом </w:t>
      </w:r>
      <w:r>
        <w:rPr/>
        <w:fldChar w:fldCharType="begin"/>
      </w:r>
      <w:r>
        <w:rPr/>
        <w:instrText xml:space="preserve"> REF _Ref138232981 \r \h </w:instrText>
      </w:r>
      <w:r>
        <w:rPr/>
        <w:fldChar w:fldCharType="separate"/>
      </w:r>
      <w:r>
        <w:rPr/>
        <w:t>5.2</w:t>
      </w:r>
      <w:r>
        <w:rPr/>
        <w:fldChar w:fldCharType="end"/>
      </w:r>
      <w:r>
        <w:rPr/>
        <w:t>.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424"/>
      <w:bookmarkEnd w:id="425"/>
    </w:p>
  </w:footnote>
  <w:footnote w:id="16">
    <w:p>
      <w:pPr>
        <w:pStyle w:val="FootnoteText"/>
        <w:widowControl w:val="false"/>
        <w:jc w:val="both"/>
        <w:rPr/>
      </w:pPr>
      <w:r>
        <w:rPr>
          <w:rStyle w:val="Style13"/>
        </w:rPr>
        <w:footnoteRef/>
      </w:r>
      <w:r>
        <w:rPr>
          <w:rStyle w:val="Style13"/>
        </w:rPr>
        <w:tab/>
      </w:r>
      <w:r>
        <w:rPr/>
        <w:t>Организатор закупки с НМЦ свыше 500 млн. руб. без НДС осуществляет проверку представленных в составе заявки Участника документов на предмет отсутствия недостоверных сведений или намеренно искаженной информации, основываясь на официальных данных из открытых источников, размещенных в информативно-телекоммуникационной сети «Интернет» по адресу: egrul.nalog.ru (портал «Федеральные налоговой службы РФ») (далее – открытые источники). В случае наличия расхождений сведений с открытыми источниками в информации, подтверждающей статус Участника, Организатор закупки присваивает по данному критерию балл на основании данных из открытых источников.</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Style23"/>
      <w:numFmt w:val="decimal"/>
      <w:lvlText w:val="%1."/>
      <w:lvlJc w:val="left"/>
      <w:pPr>
        <w:tabs>
          <w:tab w:val="num" w:pos="1134"/>
        </w:tabs>
        <w:ind w:left="1134" w:hanging="1134"/>
      </w:pPr>
      <w:rPr/>
    </w:lvl>
    <w:lvl w:ilvl="1">
      <w:start w:val="1"/>
      <w:pStyle w:val="Style24"/>
      <w:numFmt w:val="decimal"/>
      <w:lvlText w:val="%1.%2"/>
      <w:lvlJc w:val="left"/>
      <w:pPr>
        <w:tabs>
          <w:tab w:val="num" w:pos="1134"/>
        </w:tabs>
        <w:ind w:left="1134" w:hanging="1134"/>
      </w:pPr>
      <w:rPr/>
    </w:lvl>
    <w:lvl w:ilvl="2">
      <w:start w:val="1"/>
      <w:pStyle w:val="Style25"/>
      <w:numFmt w:val="decimal"/>
      <w:lvlText w:val="%1.%2.%3"/>
      <w:lvlJc w:val="left"/>
      <w:pPr>
        <w:tabs>
          <w:tab w:val="num" w:pos="1134"/>
        </w:tabs>
        <w:ind w:left="1134" w:hanging="1134"/>
      </w:pPr>
      <w:rPr/>
    </w:lvl>
    <w:lvl w:ilvl="3">
      <w:start w:val="1"/>
      <w:pStyle w:val="Style26"/>
      <w:numFmt w:val="russianLower"/>
      <w:lvlText w:val="%4)"/>
      <w:lvlJc w:val="left"/>
      <w:pPr>
        <w:tabs>
          <w:tab w:val="num" w:pos="1701"/>
        </w:tabs>
        <w:ind w:left="1701" w:hanging="567"/>
      </w:pPr>
      <w:rPr/>
    </w:lvl>
    <w:lvl w:ilvl="4">
      <w:start w:val="1"/>
      <w:pStyle w:val="Style27"/>
      <w:numFmt w:val="bullet"/>
      <w:lvlText w:val=""/>
      <w:lvlJc w:val="left"/>
      <w:pPr>
        <w:tabs>
          <w:tab w:val="num" w:pos="2268"/>
        </w:tabs>
        <w:ind w:left="2268" w:hanging="567"/>
      </w:pPr>
      <w:rPr>
        <w:rFonts w:ascii="Symbol" w:hAnsi="Symbol" w:cs="Symbol" w:hint="default"/>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decimal"/>
      <w:lvlText w:val="%1."/>
      <w:lvlJc w:val="left"/>
      <w:pPr>
        <w:tabs>
          <w:tab w:val="num" w:pos="0"/>
        </w:tabs>
        <w:ind w:left="1134" w:hanging="1134"/>
      </w:pPr>
      <w:rPr/>
    </w:lvl>
    <w:lvl w:ilvl="1">
      <w:start w:val="1"/>
      <w:numFmt w:val="decimal"/>
      <w:lvlText w:val="%1.%2."/>
      <w:lvlJc w:val="left"/>
      <w:pPr>
        <w:tabs>
          <w:tab w:val="num" w:pos="0"/>
        </w:tabs>
        <w:ind w:left="1134" w:hanging="1134"/>
      </w:pPr>
      <w:rPr/>
    </w:lvl>
    <w:lvl w:ilvl="2">
      <w:start w:val="1"/>
      <w:numFmt w:val="decimal"/>
      <w:lvlText w:val="%1.%2.%3."/>
      <w:lvlJc w:val="left"/>
      <w:pPr>
        <w:tabs>
          <w:tab w:val="num" w:pos="0"/>
        </w:tabs>
        <w:ind w:left="1134" w:hanging="1134"/>
      </w:pPr>
      <w:rPr/>
    </w:lvl>
    <w:lvl w:ilvl="3">
      <w:start w:val="1"/>
      <w:numFmt w:val="decimal"/>
      <w:lvlText w:val="(%4)"/>
      <w:lvlJc w:val="left"/>
      <w:pPr>
        <w:tabs>
          <w:tab w:val="num" w:pos="0"/>
        </w:tabs>
        <w:ind w:left="1701" w:hanging="567"/>
      </w:pPr>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hanging="0"/>
      </w:pPr>
      <w:rPr/>
    </w:lvl>
    <w:lvl w:ilvl="6">
      <w:start w:val="1"/>
      <w:numFmt w:val="none"/>
      <w:suff w:val="nothing"/>
      <w:lvlText w:val=""/>
      <w:lvlJc w:val="left"/>
      <w:pPr>
        <w:tabs>
          <w:tab w:val="num" w:pos="0"/>
        </w:tabs>
        <w:ind w:left="1701"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1134" w:hanging="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w="http://schemas.openxmlformats.org/wordprocessingml/2006/main">
  <w:zoom w:percent="8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 w:cstheme="minorBidi" w:eastAsiaTheme="minorHAnsi"/>
        <w:sz w:val="26"/>
        <w:szCs w:val="22"/>
        <w:lang w:val="ru-RU" w:eastAsia="en-US" w:bidi="ar-SA"/>
      </w:rPr>
    </w:rPrDefault>
    <w:pPrDefault>
      <w:pPr>
        <w:suppressAutoHyphens w:val="true"/>
      </w:pPr>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locked="0" w:uiPriority="9" w:semiHidden="1" w:unhideWhenUsed="1" w:qFormat="1"/>
    <w:lsdException w:name="heading 3" w:locked="0" w:uiPriority="9" w:semiHidden="1" w:unhideWhenUsed="1" w:qFormat="1"/>
    <w:lsdException w:name="heading 4" w:locked="0" w:uiPriority="9" w:semiHidden="1" w:unhideWhenUsed="1" w:qFormat="1"/>
    <w:lsdException w:name="heading 5" w:locked="0" w:uiPriority="9" w:semiHidden="1" w:unhideWhenUsed="1" w:qFormat="1"/>
    <w:lsdException w:name="heading 6" w:locked="0" w:uiPriority="9" w:semiHidden="1" w:unhideWhenUsed="1" w:qFormat="1"/>
    <w:lsdException w:name="heading 7" w:locked="0" w:uiPriority="9" w:semiHidden="1" w:unhideWhenUsed="1" w:qFormat="1"/>
    <w:lsdException w:name="heading 8" w:locked="0" w:uiPriority="9" w:semiHidden="1" w:unhideWhenUsed="1" w:qFormat="1"/>
    <w:lsdException w:name="heading 9" w:locked="0" w:uiPriority="9" w:semiHidden="1"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uiPriority="39" w:semiHidden="1" w:unhideWhenUsed="1"/>
    <w:lsdException w:name="toc 2" w:locked="0" w:uiPriority="39" w:semiHidden="1" w:unhideWhenUsed="1"/>
    <w:lsdException w:name="toc 3" w:locked="0" w:uiPriority="39" w:semiHidden="1" w:unhideWhenUsed="1"/>
    <w:lsdException w:name="toc 4" w:locked="0" w:uiPriority="39" w:semiHidden="1" w:unhideWhenUsed="1"/>
    <w:lsdException w:name="toc 5" w:locked="0" w:uiPriority="39" w:semiHidden="1" w:unhideWhenUsed="1"/>
    <w:lsdException w:name="toc 6" w:locked="0" w:uiPriority="39" w:semiHidden="1" w:unhideWhenUsed="1"/>
    <w:lsdException w:name="toc 7" w:locked="0" w:uiPriority="39" w:semiHidden="1" w:unhideWhenUsed="1"/>
    <w:lsdException w:name="toc 8" w:locked="0" w:uiPriority="39" w:semiHidden="1" w:unhideWhenUsed="1"/>
    <w:lsdException w:name="toc 9" w:locked="0" w:uiPriority="39" w:semiHidden="1"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uiPriority="35" w:semiHidden="1"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uiPriority="0" w:semiHidden="1" w:unhideWhenUsed="1"/>
    <w:lsdException w:name="annotation reference" w:locked="0" w:uiPriority="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uiPriority="1" w:semiHidden="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uiPriority="37" w:semiHidden="1" w:unhideWhenUsed="1"/>
    <w:lsdException w:name="TOC Heading" w:locked="0"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917933"/>
    <w:pPr>
      <w:widowControl/>
      <w:suppressAutoHyphens w:val="true"/>
      <w:bidi w:val="0"/>
      <w:spacing w:before="120" w:after="0"/>
      <w:jc w:val="left"/>
    </w:pPr>
    <w:rPr>
      <w:rFonts w:ascii="Times New Roman" w:hAnsi="Times New Roman" w:eastAsia="Calibri" w:cs="" w:cstheme="minorBidi" w:eastAsiaTheme="minorHAnsi"/>
      <w:color w:val="auto"/>
      <w:kern w:val="0"/>
      <w:sz w:val="26"/>
      <w:szCs w:val="22"/>
      <w:lang w:val="ru-RU" w:eastAsia="en-US" w:bidi="ar-SA"/>
    </w:rPr>
  </w:style>
  <w:style w:type="character" w:styleId="DefaultParagraphFont" w:default="1">
    <w:name w:val="Default Paragraph Font"/>
    <w:uiPriority w:val="1"/>
    <w:semiHidden/>
    <w:unhideWhenUsed/>
    <w:qFormat/>
    <w:rPr/>
  </w:style>
  <w:style w:type="character" w:styleId="Style9" w:customStyle="1">
    <w:name w:val="Верхний колонтитул Знак"/>
    <w:basedOn w:val="DefaultParagraphFont"/>
    <w:uiPriority w:val="99"/>
    <w:qFormat/>
    <w:rsid w:val="00c95e18"/>
    <w:rPr/>
  </w:style>
  <w:style w:type="character" w:styleId="Style10" w:customStyle="1">
    <w:name w:val="Нижний колонтитул Знак"/>
    <w:basedOn w:val="DefaultParagraphFont"/>
    <w:uiPriority w:val="99"/>
    <w:qFormat/>
    <w:rsid w:val="008364e8"/>
    <w:rPr/>
  </w:style>
  <w:style w:type="character" w:styleId="Style11" w:customStyle="1">
    <w:name w:val="[РГ] Инструкция для организатора"/>
    <w:basedOn w:val="DefaultParagraphFont"/>
    <w:uiPriority w:val="1"/>
    <w:qFormat/>
    <w:rsid w:val="00277346"/>
    <w:rPr>
      <w:i/>
      <w:iCs/>
      <w:shd w:fill="FFFF99" w:val="clear"/>
      <w:lang w:val="ru-RU"/>
    </w:rPr>
  </w:style>
  <w:style w:type="character" w:styleId="Style12" w:customStyle="1">
    <w:name w:val="Текст сноски Знак"/>
    <w:basedOn w:val="DefaultParagraphFont"/>
    <w:uiPriority w:val="99"/>
    <w:semiHidden/>
    <w:qFormat/>
    <w:rsid w:val="006608d1"/>
    <w:rPr>
      <w:sz w:val="20"/>
      <w:szCs w:val="20"/>
    </w:rPr>
  </w:style>
  <w:style w:type="character" w:styleId="Style13" w:customStyle="1">
    <w:name w:val="Символ сноски"/>
    <w:qFormat/>
    <w:rsid w:val="004d56e9"/>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sid w:val="00cc7f55"/>
    <w:rPr>
      <w:color w:val="0563C1" w:themeColor="hyperlink"/>
      <w:u w:val="single"/>
    </w:rPr>
  </w:style>
  <w:style w:type="character" w:styleId="UnresolvedMention" w:customStyle="1">
    <w:name w:val="Unresolved Mention"/>
    <w:basedOn w:val="DefaultParagraphFont"/>
    <w:uiPriority w:val="99"/>
    <w:semiHidden/>
    <w:unhideWhenUsed/>
    <w:qFormat/>
    <w:rsid w:val="00cc7f55"/>
    <w:rPr>
      <w:color w:val="605E5C"/>
      <w:shd w:fill="E1DFDD" w:val="clear"/>
    </w:rPr>
  </w:style>
  <w:style w:type="character" w:styleId="PlaceholderText">
    <w:name w:val="Placeholder Text"/>
    <w:basedOn w:val="DefaultParagraphFont"/>
    <w:uiPriority w:val="99"/>
    <w:semiHidden/>
    <w:qFormat/>
    <w:rsid w:val="00984d97"/>
    <w:rPr>
      <w:color w:val="808080"/>
    </w:rPr>
  </w:style>
  <w:style w:type="character" w:styleId="Style14" w:customStyle="1">
    <w:name w:val="[РГ] Отсылка"/>
    <w:basedOn w:val="DefaultParagraphFont"/>
    <w:uiPriority w:val="1"/>
    <w:qFormat/>
    <w:rsid w:val="00c558e6"/>
    <w:rPr>
      <w:color w:val="000000"/>
      <w:spacing w:val="0"/>
      <w:u w:val="dotted" w:color="4472C4"/>
      <w:shd w:fill="auto" w:val="clear"/>
      <w:lang w:val="ru-RU"/>
    </w:rPr>
  </w:style>
  <w:style w:type="character" w:styleId="Annotationreference">
    <w:name w:val="annotation reference"/>
    <w:basedOn w:val="DefaultParagraphFont"/>
    <w:unhideWhenUsed/>
    <w:qFormat/>
    <w:rsid w:val="007e365e"/>
    <w:rPr>
      <w:sz w:val="16"/>
      <w:szCs w:val="16"/>
    </w:rPr>
  </w:style>
  <w:style w:type="character" w:styleId="Style15" w:customStyle="1">
    <w:name w:val="Текст примечания Знак"/>
    <w:basedOn w:val="DefaultParagraphFont"/>
    <w:link w:val="Annotationtext"/>
    <w:uiPriority w:val="99"/>
    <w:qFormat/>
    <w:rsid w:val="007e365e"/>
    <w:rPr>
      <w:sz w:val="20"/>
      <w:szCs w:val="20"/>
    </w:rPr>
  </w:style>
  <w:style w:type="character" w:styleId="Style16" w:customStyle="1">
    <w:name w:val="Тема примечания Знак"/>
    <w:basedOn w:val="Style15"/>
    <w:link w:val="Annotationsubject"/>
    <w:uiPriority w:val="99"/>
    <w:semiHidden/>
    <w:qFormat/>
    <w:rsid w:val="007e365e"/>
    <w:rPr>
      <w:b/>
      <w:bCs/>
      <w:sz w:val="20"/>
      <w:szCs w:val="20"/>
    </w:rPr>
  </w:style>
  <w:style w:type="character" w:styleId="Style17" w:customStyle="1">
    <w:name w:val="[РГ] Инструкция для участника"/>
    <w:basedOn w:val="DefaultParagraphFont"/>
    <w:uiPriority w:val="1"/>
    <w:qFormat/>
    <w:rsid w:val="005864e9"/>
    <w:rPr>
      <w:i/>
      <w:shd w:fill="D0CECE" w:val="clear"/>
      <w:lang w:val="ru-RU"/>
    </w:rPr>
  </w:style>
  <w:style w:type="character" w:styleId="FollowedHyperlink">
    <w:name w:val="FollowedHyperlink"/>
    <w:basedOn w:val="DefaultParagraphFont"/>
    <w:uiPriority w:val="99"/>
    <w:semiHidden/>
    <w:unhideWhenUsed/>
    <w:rsid w:val="006d25e1"/>
    <w:rPr>
      <w:color w:val="954F72" w:themeColor="followedHyperlink"/>
      <w:u w:val="single"/>
    </w:rPr>
  </w:style>
  <w:style w:type="character" w:styleId="Style18" w:customStyle="1">
    <w:name w:val="Текст выноски Знак"/>
    <w:basedOn w:val="DefaultParagraphFont"/>
    <w:link w:val="BalloonText"/>
    <w:uiPriority w:val="99"/>
    <w:semiHidden/>
    <w:qFormat/>
    <w:rsid w:val="0079507d"/>
    <w:rPr>
      <w:rFonts w:ascii="Segoe UI" w:hAnsi="Segoe UI" w:cs="Segoe UI"/>
      <w:sz w:val="18"/>
      <w:szCs w:val="18"/>
    </w:rPr>
  </w:style>
  <w:style w:type="character" w:styleId="Style19">
    <w:name w:val="Ссылка указателя"/>
    <w:qFormat/>
    <w:rPr/>
  </w:style>
  <w:style w:type="character" w:styleId="Style20">
    <w:name w:val="Символ концевой сноски"/>
    <w:qFormat/>
    <w:rPr>
      <w:vertAlign w:val="superscript"/>
    </w:rPr>
  </w:style>
  <w:style w:type="character" w:styleId="EndnoteReference">
    <w:name w:val="Endnote Reference"/>
    <w:rPr>
      <w:vertAlign w:val="superscript"/>
    </w:rPr>
  </w:style>
  <w:style w:type="paragraph" w:styleId="Style21">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Style22">
    <w:name w:val="Указатель"/>
    <w:basedOn w:val="Normal"/>
    <w:qFormat/>
    <w:pPr>
      <w:suppressLineNumbers/>
    </w:pPr>
    <w:rPr>
      <w:rFonts w:cs="Arial Unicode MS"/>
    </w:rPr>
  </w:style>
  <w:style w:type="paragraph" w:styleId="Style23" w:customStyle="1">
    <w:name w:val="[РГ] Раздел"/>
    <w:basedOn w:val="Normal"/>
    <w:next w:val="Style24"/>
    <w:qFormat/>
    <w:rsid w:val="00c95e18"/>
    <w:pPr>
      <w:keepNext w:val="true"/>
      <w:pageBreakBefore/>
      <w:numPr>
        <w:ilvl w:val="0"/>
        <w:numId w:val="1"/>
      </w:numPr>
      <w:spacing w:before="0" w:after="360"/>
      <w:jc w:val="both"/>
      <w:outlineLvl w:val="0"/>
    </w:pPr>
    <w:rPr>
      <w:b/>
      <w:bCs/>
      <w:caps/>
    </w:rPr>
  </w:style>
  <w:style w:type="paragraph" w:styleId="Style24" w:customStyle="1">
    <w:name w:val="[РГ] Подраздел"/>
    <w:basedOn w:val="Normal"/>
    <w:next w:val="Style25"/>
    <w:qFormat/>
    <w:rsid w:val="00891546"/>
    <w:pPr>
      <w:keepNext w:val="true"/>
      <w:numPr>
        <w:ilvl w:val="1"/>
        <w:numId w:val="1"/>
      </w:numPr>
      <w:spacing w:before="360" w:after="0"/>
      <w:jc w:val="both"/>
      <w:outlineLvl w:val="1"/>
    </w:pPr>
    <w:rPr>
      <w:b/>
      <w:bCs/>
    </w:rPr>
  </w:style>
  <w:style w:type="paragraph" w:styleId="Style25" w:customStyle="1">
    <w:name w:val="[РГ] Пункт"/>
    <w:basedOn w:val="Normal"/>
    <w:qFormat/>
    <w:rsid w:val="00891546"/>
    <w:pPr>
      <w:numPr>
        <w:ilvl w:val="2"/>
        <w:numId w:val="1"/>
      </w:numPr>
      <w:jc w:val="both"/>
      <w:outlineLvl w:val="2"/>
    </w:pPr>
    <w:rPr/>
  </w:style>
  <w:style w:type="paragraph" w:styleId="Style26" w:customStyle="1">
    <w:name w:val="[РГ] Подпункт"/>
    <w:basedOn w:val="Normal"/>
    <w:qFormat/>
    <w:rsid w:val="00891546"/>
    <w:pPr>
      <w:numPr>
        <w:ilvl w:val="3"/>
        <w:numId w:val="1"/>
      </w:numPr>
      <w:jc w:val="both"/>
      <w:outlineLvl w:val="3"/>
    </w:pPr>
    <w:rPr/>
  </w:style>
  <w:style w:type="paragraph" w:styleId="Style27" w:customStyle="1">
    <w:name w:val="[РГ] Перечисление"/>
    <w:basedOn w:val="Normal"/>
    <w:qFormat/>
    <w:rsid w:val="00891546"/>
    <w:pPr>
      <w:numPr>
        <w:ilvl w:val="4"/>
        <w:numId w:val="1"/>
      </w:numPr>
      <w:jc w:val="both"/>
      <w:outlineLvl w:val="4"/>
    </w:pPr>
    <w:rPr/>
  </w:style>
  <w:style w:type="paragraph" w:styleId="Style28" w:customStyle="1">
    <w:name w:val="[РГ] Заголовок"/>
    <w:basedOn w:val="Normal"/>
    <w:next w:val="Style29"/>
    <w:qFormat/>
    <w:rsid w:val="00f87384"/>
    <w:pPr>
      <w:keepNext w:val="true"/>
      <w:pageBreakBefore/>
      <w:spacing w:before="0" w:after="360"/>
      <w:jc w:val="both"/>
    </w:pPr>
    <w:rPr>
      <w:b/>
      <w:bCs/>
      <w:caps/>
    </w:rPr>
  </w:style>
  <w:style w:type="paragraph" w:styleId="Style29" w:customStyle="1">
    <w:name w:val="[РГ] Текст"/>
    <w:basedOn w:val="Normal"/>
    <w:qFormat/>
    <w:rsid w:val="00891546"/>
    <w:pPr>
      <w:jc w:val="both"/>
    </w:pPr>
    <w:rPr/>
  </w:style>
  <w:style w:type="paragraph" w:styleId="Style30">
    <w:name w:val="Колонтитул"/>
    <w:basedOn w:val="Normal"/>
    <w:qFormat/>
    <w:pPr/>
    <w:rPr/>
  </w:style>
  <w:style w:type="paragraph" w:styleId="Header">
    <w:name w:val="Header"/>
    <w:basedOn w:val="Normal"/>
    <w:link w:val="Style9"/>
    <w:uiPriority w:val="99"/>
    <w:unhideWhenUsed/>
    <w:rsid w:val="00c95e18"/>
    <w:pPr>
      <w:spacing w:before="0" w:after="120"/>
      <w:jc w:val="center"/>
    </w:pPr>
    <w:rPr/>
  </w:style>
  <w:style w:type="paragraph" w:styleId="Footer">
    <w:name w:val="Footer"/>
    <w:basedOn w:val="Normal"/>
    <w:link w:val="Style10"/>
    <w:uiPriority w:val="99"/>
    <w:unhideWhenUsed/>
    <w:rsid w:val="008364e8"/>
    <w:pPr>
      <w:jc w:val="right"/>
    </w:pPr>
    <w:rPr/>
  </w:style>
  <w:style w:type="paragraph" w:styleId="FootnoteText">
    <w:name w:val="Footnote Text"/>
    <w:basedOn w:val="Normal"/>
    <w:link w:val="Style12"/>
    <w:uiPriority w:val="99"/>
    <w:semiHidden/>
    <w:unhideWhenUsed/>
    <w:rsid w:val="006608d1"/>
    <w:pPr>
      <w:spacing w:before="0" w:after="0"/>
    </w:pPr>
    <w:rPr>
      <w:sz w:val="20"/>
      <w:szCs w:val="20"/>
    </w:rPr>
  </w:style>
  <w:style w:type="paragraph" w:styleId="Style31" w:customStyle="1">
    <w:name w:val="[РГ] Сноска"/>
    <w:basedOn w:val="FootnoteText"/>
    <w:qFormat/>
    <w:rsid w:val="006608d1"/>
    <w:pPr>
      <w:spacing w:before="80" w:after="0"/>
      <w:ind w:left="567" w:hanging="567"/>
      <w:jc w:val="both"/>
    </w:pPr>
    <w:rPr>
      <w:sz w:val="22"/>
    </w:rPr>
  </w:style>
  <w:style w:type="paragraph" w:styleId="TOC2">
    <w:name w:val="TOC 2"/>
    <w:basedOn w:val="Normal"/>
    <w:next w:val="Normal"/>
    <w:autoRedefine/>
    <w:uiPriority w:val="39"/>
    <w:unhideWhenUsed/>
    <w:rsid w:val="002c4b1b"/>
    <w:pPr>
      <w:tabs>
        <w:tab w:val="clear" w:pos="708"/>
        <w:tab w:val="left" w:pos="851" w:leader="none"/>
        <w:tab w:val="right" w:pos="9923" w:leader="none"/>
      </w:tabs>
      <w:spacing w:before="120" w:after="120"/>
      <w:ind w:left="851" w:hanging="851"/>
    </w:pPr>
    <w:rPr/>
  </w:style>
  <w:style w:type="paragraph" w:styleId="TOC1">
    <w:name w:val="TOC 1"/>
    <w:basedOn w:val="Normal"/>
    <w:next w:val="Normal"/>
    <w:autoRedefine/>
    <w:uiPriority w:val="39"/>
    <w:unhideWhenUsed/>
    <w:rsid w:val="00bd294b"/>
    <w:pPr>
      <w:keepNext w:val="true"/>
      <w:tabs>
        <w:tab w:val="clear" w:pos="708"/>
        <w:tab w:val="left" w:pos="851" w:leader="none"/>
        <w:tab w:val="right" w:pos="9923" w:leader="none"/>
      </w:tabs>
      <w:spacing w:before="120" w:after="120"/>
      <w:ind w:left="851" w:hanging="851"/>
    </w:pPr>
    <w:rPr>
      <w:b/>
      <w:caps/>
    </w:rPr>
  </w:style>
  <w:style w:type="paragraph" w:styleId="TOC3">
    <w:name w:val="TOC 3"/>
    <w:basedOn w:val="Normal"/>
    <w:next w:val="Normal"/>
    <w:autoRedefine/>
    <w:uiPriority w:val="39"/>
    <w:unhideWhenUsed/>
    <w:rsid w:val="009c217f"/>
    <w:pPr>
      <w:spacing w:lineRule="auto" w:line="259" w:before="0" w:after="100"/>
      <w:ind w:left="440" w:hanging="0"/>
    </w:pPr>
    <w:rPr>
      <w:rFonts w:ascii="Calibri" w:hAnsi="Calibri" w:eastAsia="" w:asciiTheme="minorHAnsi" w:eastAsiaTheme="minorEastAsia" w:hAnsiTheme="minorHAnsi"/>
      <w:sz w:val="22"/>
      <w:lang w:eastAsia="ru-RU"/>
    </w:rPr>
  </w:style>
  <w:style w:type="paragraph" w:styleId="TOC4">
    <w:name w:val="TOC 4"/>
    <w:basedOn w:val="Normal"/>
    <w:next w:val="Normal"/>
    <w:autoRedefine/>
    <w:uiPriority w:val="39"/>
    <w:unhideWhenUsed/>
    <w:rsid w:val="009c217f"/>
    <w:pPr>
      <w:spacing w:lineRule="auto" w:line="259" w:before="0" w:after="100"/>
      <w:ind w:left="660" w:hanging="0"/>
    </w:pPr>
    <w:rPr>
      <w:rFonts w:ascii="Calibri" w:hAnsi="Calibri" w:eastAsia="" w:asciiTheme="minorHAnsi" w:eastAsiaTheme="minorEastAsia" w:hAnsiTheme="minorHAnsi"/>
      <w:sz w:val="22"/>
      <w:lang w:eastAsia="ru-RU"/>
    </w:rPr>
  </w:style>
  <w:style w:type="paragraph" w:styleId="TOC5">
    <w:name w:val="TOC 5"/>
    <w:basedOn w:val="Normal"/>
    <w:next w:val="Normal"/>
    <w:autoRedefine/>
    <w:uiPriority w:val="39"/>
    <w:unhideWhenUsed/>
    <w:rsid w:val="009c217f"/>
    <w:pPr>
      <w:spacing w:lineRule="auto" w:line="259" w:before="0" w:after="100"/>
      <w:ind w:left="880" w:hanging="0"/>
    </w:pPr>
    <w:rPr>
      <w:rFonts w:ascii="Calibri" w:hAnsi="Calibri" w:eastAsia="" w:asciiTheme="minorHAnsi" w:eastAsiaTheme="minorEastAsia" w:hAnsiTheme="minorHAnsi"/>
      <w:sz w:val="22"/>
      <w:lang w:eastAsia="ru-RU"/>
    </w:rPr>
  </w:style>
  <w:style w:type="paragraph" w:styleId="TOC6">
    <w:name w:val="TOC 6"/>
    <w:basedOn w:val="Normal"/>
    <w:next w:val="Normal"/>
    <w:autoRedefine/>
    <w:uiPriority w:val="39"/>
    <w:unhideWhenUsed/>
    <w:rsid w:val="009c217f"/>
    <w:pPr>
      <w:spacing w:lineRule="auto" w:line="259" w:before="0" w:after="100"/>
      <w:ind w:left="1100" w:hanging="0"/>
    </w:pPr>
    <w:rPr>
      <w:rFonts w:ascii="Calibri" w:hAnsi="Calibri" w:eastAsia="" w:asciiTheme="minorHAnsi" w:eastAsiaTheme="minorEastAsia" w:hAnsiTheme="minorHAnsi"/>
      <w:sz w:val="22"/>
      <w:lang w:eastAsia="ru-RU"/>
    </w:rPr>
  </w:style>
  <w:style w:type="paragraph" w:styleId="TOC7">
    <w:name w:val="TOC 7"/>
    <w:basedOn w:val="Normal"/>
    <w:next w:val="Normal"/>
    <w:autoRedefine/>
    <w:uiPriority w:val="39"/>
    <w:unhideWhenUsed/>
    <w:rsid w:val="009c217f"/>
    <w:pPr>
      <w:spacing w:lineRule="auto" w:line="259" w:before="0" w:after="100"/>
      <w:ind w:left="1320" w:hanging="0"/>
    </w:pPr>
    <w:rPr>
      <w:rFonts w:ascii="Calibri" w:hAnsi="Calibri" w:eastAsia="" w:asciiTheme="minorHAnsi" w:eastAsiaTheme="minorEastAsia" w:hAnsiTheme="minorHAnsi"/>
      <w:sz w:val="22"/>
      <w:lang w:eastAsia="ru-RU"/>
    </w:rPr>
  </w:style>
  <w:style w:type="paragraph" w:styleId="TOC8">
    <w:name w:val="TOC 8"/>
    <w:basedOn w:val="Normal"/>
    <w:next w:val="Normal"/>
    <w:autoRedefine/>
    <w:uiPriority w:val="39"/>
    <w:unhideWhenUsed/>
    <w:rsid w:val="009c217f"/>
    <w:pPr>
      <w:spacing w:lineRule="auto" w:line="259" w:before="0" w:after="100"/>
      <w:ind w:left="1540" w:hanging="0"/>
    </w:pPr>
    <w:rPr>
      <w:rFonts w:ascii="Calibri" w:hAnsi="Calibri" w:eastAsia="" w:asciiTheme="minorHAnsi" w:eastAsiaTheme="minorEastAsia" w:hAnsiTheme="minorHAnsi"/>
      <w:sz w:val="22"/>
      <w:lang w:eastAsia="ru-RU"/>
    </w:rPr>
  </w:style>
  <w:style w:type="paragraph" w:styleId="TOC9">
    <w:name w:val="TOC 9"/>
    <w:basedOn w:val="Normal"/>
    <w:next w:val="Normal"/>
    <w:autoRedefine/>
    <w:uiPriority w:val="39"/>
    <w:unhideWhenUsed/>
    <w:rsid w:val="009c217f"/>
    <w:pPr>
      <w:spacing w:lineRule="auto" w:line="259" w:before="0" w:after="100"/>
      <w:ind w:left="1760" w:hanging="0"/>
    </w:pPr>
    <w:rPr>
      <w:rFonts w:ascii="Calibri" w:hAnsi="Calibri" w:eastAsia="" w:asciiTheme="minorHAnsi" w:eastAsiaTheme="minorEastAsia" w:hAnsiTheme="minorHAnsi"/>
      <w:sz w:val="22"/>
      <w:lang w:eastAsia="ru-RU"/>
    </w:rPr>
  </w:style>
  <w:style w:type="paragraph" w:styleId="Annotationtext">
    <w:name w:val="annotation text"/>
    <w:basedOn w:val="Normal"/>
    <w:link w:val="Style15"/>
    <w:uiPriority w:val="99"/>
    <w:unhideWhenUsed/>
    <w:qFormat/>
    <w:rsid w:val="007e365e"/>
    <w:pPr/>
    <w:rPr>
      <w:sz w:val="20"/>
      <w:szCs w:val="20"/>
    </w:rPr>
  </w:style>
  <w:style w:type="paragraph" w:styleId="Annotationsubject">
    <w:name w:val="annotation subject"/>
    <w:basedOn w:val="Annotationtext"/>
    <w:next w:val="Annotationtext"/>
    <w:link w:val="Style16"/>
    <w:uiPriority w:val="99"/>
    <w:semiHidden/>
    <w:unhideWhenUsed/>
    <w:qFormat/>
    <w:rsid w:val="007e365e"/>
    <w:pPr/>
    <w:rPr>
      <w:b/>
      <w:bCs/>
    </w:rPr>
  </w:style>
  <w:style w:type="paragraph" w:styleId="Style32" w:customStyle="1">
    <w:name w:val="[РГ] Альтернатива / Дополнение"/>
    <w:basedOn w:val="Style29"/>
    <w:next w:val="Style29"/>
    <w:qFormat/>
    <w:rsid w:val="00a932a1"/>
    <w:pPr/>
    <w:rPr>
      <w:i/>
      <w:shd w:fill="CCECFF" w:val="clear"/>
    </w:rPr>
  </w:style>
  <w:style w:type="paragraph" w:styleId="Revision">
    <w:name w:val="Revision"/>
    <w:uiPriority w:val="99"/>
    <w:semiHidden/>
    <w:qFormat/>
    <w:rsid w:val="00537a41"/>
    <w:pPr>
      <w:widowControl/>
      <w:suppressAutoHyphens w:val="true"/>
      <w:bidi w:val="0"/>
      <w:spacing w:before="0" w:after="0"/>
      <w:jc w:val="left"/>
    </w:pPr>
    <w:rPr>
      <w:rFonts w:ascii="Times New Roman" w:hAnsi="Times New Roman" w:eastAsia="Calibri" w:cs="" w:cstheme="minorBidi" w:eastAsiaTheme="minorHAnsi"/>
      <w:color w:val="auto"/>
      <w:kern w:val="0"/>
      <w:sz w:val="26"/>
      <w:szCs w:val="22"/>
      <w:lang w:val="ru-RU" w:eastAsia="en-US" w:bidi="ar-SA"/>
    </w:rPr>
  </w:style>
  <w:style w:type="paragraph" w:styleId="ListParagraph">
    <w:name w:val="List Paragraph"/>
    <w:basedOn w:val="Normal"/>
    <w:uiPriority w:val="34"/>
    <w:qFormat/>
    <w:rsid w:val="00bb1e37"/>
    <w:pPr>
      <w:spacing w:before="120" w:after="0"/>
      <w:ind w:left="720" w:hanging="0"/>
      <w:contextualSpacing/>
    </w:pPr>
    <w:rPr/>
  </w:style>
  <w:style w:type="paragraph" w:styleId="BalloonText">
    <w:name w:val="Balloon Text"/>
    <w:basedOn w:val="Normal"/>
    <w:link w:val="Style18"/>
    <w:uiPriority w:val="99"/>
    <w:semiHidden/>
    <w:unhideWhenUsed/>
    <w:qFormat/>
    <w:rsid w:val="0079507d"/>
    <w:pPr>
      <w:spacing w:before="0" w:after="0"/>
    </w:pPr>
    <w:rPr>
      <w:rFonts w:ascii="Segoe UI" w:hAnsi="Segoe UI" w:cs="Segoe UI"/>
      <w:sz w:val="18"/>
      <w:szCs w:val="18"/>
    </w:rPr>
  </w:style>
  <w:style w:type="numbering" w:styleId="NoList" w:default="1">
    <w:name w:val="No List"/>
    <w:uiPriority w:val="99"/>
    <w:semiHidden/>
    <w:unhideWhenUsed/>
    <w:qFormat/>
  </w:style>
  <w:style w:type="table" w:default="1" w:styleId="a6">
    <w:name w:val="Normal Table"/>
    <w:uiPriority w:val="99"/>
    <w:semiHidden/>
    <w:unhideWhenUsed/>
    <w:tblPr>
      <w:tblCellMar>
        <w:top w:w="0" w:type="dxa"/>
        <w:left w:w="108" w:type="dxa"/>
        <w:bottom w:w="0" w:type="dxa"/>
        <w:right w:w="108" w:type="dxa"/>
      </w:tblCellMar>
    </w:tblPr>
  </w:style>
  <w:style w:type="table" w:customStyle="1" w:styleId="af4">
    <w:name w:val="[РГ] Таблица"/>
    <w:basedOn w:val="a6"/>
    <w:uiPriority w:val="99"/>
    <w:rsid w:val="006173b0"/>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pPr>
        <w:wordWrap/>
        <w:jc w:val="center"/>
      </w:pPr>
      <w:rPr>
        <w:b/>
      </w:rPr>
      <w:tblPr/>
    </w:tblStylePr>
  </w:style>
  <w:style w:type="table" w:styleId="af5">
    <w:name w:val="Table Grid"/>
    <w:basedOn w:val="a6"/>
    <w:uiPriority w:val="39"/>
    <w:rsid w:val="006173b0"/>
    <w:pPr>
      <w:spacing w:before="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hyperlink" Target="https://tender.lot-online.ru/" TargetMode="External"/><Relationship Id="rId4" Type="http://schemas.openxmlformats.org/officeDocument/2006/relationships/hyperlink" Target="https://tender.lot-online.ru/app/EtpDocList/page" TargetMode="External"/><Relationship Id="rId5" Type="http://schemas.openxmlformats.org/officeDocument/2006/relationships/hyperlink" Target="mailto:kbf@.rushydro.ru" TargetMode="External"/><Relationship Id="rId6" Type="http://schemas.openxmlformats.org/officeDocument/2006/relationships/hyperlink" Target="mailto:BachievaEM@rushydro.ru" TargetMode="External"/><Relationship Id="rId7" Type="http://schemas.openxmlformats.org/officeDocument/2006/relationships/header" Target="head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header" Target="header2.xml"/><Relationship Id="rId11" Type="http://schemas.openxmlformats.org/officeDocument/2006/relationships/header" Target="header3.xml"/><Relationship Id="rId12" Type="http://schemas.openxmlformats.org/officeDocument/2006/relationships/footer" Target="footer4.xml"/><Relationship Id="rId13" Type="http://schemas.openxmlformats.org/officeDocument/2006/relationships/footer" Target="footer5.xml"/><Relationship Id="rId14" Type="http://schemas.openxmlformats.org/officeDocument/2006/relationships/package" Target="embeddings/oleObject1.docx"/><Relationship Id="rId15" Type="http://schemas.openxmlformats.org/officeDocument/2006/relationships/image" Target="media/image1.wmf"/><Relationship Id="rId16" Type="http://schemas.openxmlformats.org/officeDocument/2006/relationships/header" Target="header4.xml"/><Relationship Id="rId17" Type="http://schemas.openxmlformats.org/officeDocument/2006/relationships/header" Target="header5.xml"/><Relationship Id="rId18" Type="http://schemas.openxmlformats.org/officeDocument/2006/relationships/footer" Target="footer6.xml"/><Relationship Id="rId19" Type="http://schemas.openxmlformats.org/officeDocument/2006/relationships/footer" Target="footer7.xml"/><Relationship Id="rId20" Type="http://schemas.openxmlformats.org/officeDocument/2006/relationships/header" Target="header6.xml"/><Relationship Id="rId21" Type="http://schemas.openxmlformats.org/officeDocument/2006/relationships/header" Target="header7.xml"/><Relationship Id="rId22" Type="http://schemas.openxmlformats.org/officeDocument/2006/relationships/footer" Target="footer8.xml"/><Relationship Id="rId23" Type="http://schemas.openxmlformats.org/officeDocument/2006/relationships/footer" Target="footer9.xml"/><Relationship Id="rId24" Type="http://schemas.openxmlformats.org/officeDocument/2006/relationships/package" Target="embeddings/oleObject2.docx"/><Relationship Id="rId25" Type="http://schemas.openxmlformats.org/officeDocument/2006/relationships/image" Target="media/image2.wmf"/><Relationship Id="rId26" Type="http://schemas.openxmlformats.org/officeDocument/2006/relationships/package" Target="embeddings/oleObject3.docx"/><Relationship Id="rId27" Type="http://schemas.openxmlformats.org/officeDocument/2006/relationships/image" Target="media/image3.wmf"/><Relationship Id="rId28" Type="http://schemas.openxmlformats.org/officeDocument/2006/relationships/header" Target="header8.xml"/><Relationship Id="rId29" Type="http://schemas.openxmlformats.org/officeDocument/2006/relationships/header" Target="header9.xml"/><Relationship Id="rId30" Type="http://schemas.openxmlformats.org/officeDocument/2006/relationships/footer" Target="footer10.xml"/><Relationship Id="rId31" Type="http://schemas.openxmlformats.org/officeDocument/2006/relationships/footer" Target="footer11.xml"/><Relationship Id="rId32" Type="http://schemas.openxmlformats.org/officeDocument/2006/relationships/header" Target="header10.xml"/><Relationship Id="rId33" Type="http://schemas.openxmlformats.org/officeDocument/2006/relationships/header" Target="header11.xml"/><Relationship Id="rId34" Type="http://schemas.openxmlformats.org/officeDocument/2006/relationships/footer" Target="footer12.xml"/><Relationship Id="rId35" Type="http://schemas.openxmlformats.org/officeDocument/2006/relationships/footer" Target="footer13.xml"/><Relationship Id="rId36" Type="http://schemas.openxmlformats.org/officeDocument/2006/relationships/image" Target="media/image4.png"/><Relationship Id="rId37" Type="http://schemas.openxmlformats.org/officeDocument/2006/relationships/header" Target="header12.xml"/><Relationship Id="rId38" Type="http://schemas.openxmlformats.org/officeDocument/2006/relationships/header" Target="header13.xml"/><Relationship Id="rId39" Type="http://schemas.openxmlformats.org/officeDocument/2006/relationships/footer" Target="footer14.xml"/><Relationship Id="rId40" Type="http://schemas.openxmlformats.org/officeDocument/2006/relationships/footer" Target="footer15.xml"/><Relationship Id="rId41" Type="http://schemas.openxmlformats.org/officeDocument/2006/relationships/header" Target="header14.xml"/><Relationship Id="rId42" Type="http://schemas.openxmlformats.org/officeDocument/2006/relationships/header" Target="header15.xml"/><Relationship Id="rId43" Type="http://schemas.openxmlformats.org/officeDocument/2006/relationships/footer" Target="footer16.xml"/><Relationship Id="rId44" Type="http://schemas.openxmlformats.org/officeDocument/2006/relationships/footer" Target="footer17.xml"/><Relationship Id="rId45" Type="http://schemas.openxmlformats.org/officeDocument/2006/relationships/footnotes" Target="footnotes.xml"/><Relationship Id="rId46" Type="http://schemas.openxmlformats.org/officeDocument/2006/relationships/numbering" Target="numbering.xml"/><Relationship Id="rId47" Type="http://schemas.openxmlformats.org/officeDocument/2006/relationships/fontTable" Target="fontTable.xml"/><Relationship Id="rId48" Type="http://schemas.openxmlformats.org/officeDocument/2006/relationships/settings" Target="settings.xml"/><Relationship Id="rId49" Type="http://schemas.openxmlformats.org/officeDocument/2006/relationships/theme" Target="theme/theme1.xml"/><Relationship Id="rId50"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072DF-C2EC-4DC0-B2AB-23287B1C6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1182</TotalTime>
  <Application>AlterOffice/3.4.0.9$Linux_X86_64 LibreOffice_project/b8daf9e823b1a5463a2f48435ddc2e8696e7d4fc</Application>
  <AppVersion>15.0000</AppVersion>
  <Pages>47</Pages>
  <Words>19340</Words>
  <Characters>135126</Characters>
  <CharactersWithSpaces>152942</CharactersWithSpaces>
  <Paragraphs>1131</Paragraphs>
  <Company>ПАО РусГидро; ИнКонТех</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2023-06-27T10:22:00Z</dcterms:created>
  <dc:creator>Владимир Щербаков</dc:creator>
  <dc:description/>
  <cp:keywords>Типовая форма</cp:keywords>
  <dc:language>ru-RU</dc:language>
  <cp:lastModifiedBy>glashevsk@corp.gidroogk.com</cp:lastModifiedBy>
  <cp:lastPrinted>2026-06-03T12:15:54Z</cp:lastPrinted>
  <dcterms:modified xsi:type="dcterms:W3CDTF">2026-06-04T14:26:32Z</dcterms:modified>
  <cp:revision>262</cp:revision>
  <dc:subject>Альбом типовых форм</dc:subject>
  <dc:title>Документация о закупке</dc:title>
</cp:coreProperties>
</file>

<file path=docProps/custom.xml><?xml version="1.0" encoding="utf-8"?>
<Properties xmlns="http://schemas.openxmlformats.org/officeDocument/2006/custom-properties" xmlns:vt="http://schemas.openxmlformats.org/officeDocument/2006/docPropsVTypes"/>
</file>